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405" w:rsidRPr="00334CEF" w:rsidRDefault="00D53405" w:rsidP="00334CEF">
      <w:pPr>
        <w:spacing w:after="0" w:line="240" w:lineRule="auto"/>
        <w:jc w:val="right"/>
        <w:rPr>
          <w:rFonts w:ascii="Times New Roman" w:hAnsi="Times New Roman" w:cs="Times New Roman"/>
          <w:b/>
          <w:sz w:val="26"/>
          <w:szCs w:val="26"/>
        </w:rPr>
      </w:pPr>
      <w:r w:rsidRPr="00334CEF">
        <w:rPr>
          <w:rFonts w:ascii="Times New Roman" w:hAnsi="Times New Roman" w:cs="Times New Roman"/>
          <w:b/>
          <w:sz w:val="26"/>
          <w:szCs w:val="26"/>
        </w:rPr>
        <w:t>Приложение към т. 1</w:t>
      </w:r>
    </w:p>
    <w:p w:rsidR="00D53405" w:rsidRDefault="00D53405" w:rsidP="005630AF">
      <w:pPr>
        <w:spacing w:after="0" w:line="240" w:lineRule="auto"/>
        <w:jc w:val="center"/>
        <w:rPr>
          <w:rFonts w:ascii="Times New Roman" w:hAnsi="Times New Roman" w:cs="Times New Roman"/>
          <w:b/>
          <w:sz w:val="60"/>
          <w:szCs w:val="60"/>
        </w:rPr>
      </w:pPr>
    </w:p>
    <w:p w:rsidR="00D53405" w:rsidRPr="001E3810" w:rsidRDefault="00D53405" w:rsidP="005630AF">
      <w:pPr>
        <w:spacing w:after="0" w:line="240" w:lineRule="auto"/>
        <w:jc w:val="center"/>
        <w:rPr>
          <w:rFonts w:ascii="Times New Roman" w:hAnsi="Times New Roman" w:cs="Times New Roman"/>
          <w:b/>
          <w:sz w:val="60"/>
          <w:szCs w:val="60"/>
        </w:rPr>
      </w:pPr>
    </w:p>
    <w:p w:rsidR="00D53405" w:rsidRPr="001E3810" w:rsidRDefault="00D53405" w:rsidP="005630AF">
      <w:pPr>
        <w:spacing w:after="0" w:line="240" w:lineRule="auto"/>
        <w:jc w:val="center"/>
        <w:rPr>
          <w:rFonts w:ascii="Times New Roman" w:hAnsi="Times New Roman" w:cs="Times New Roman"/>
          <w:b/>
          <w:sz w:val="60"/>
          <w:szCs w:val="60"/>
        </w:rPr>
      </w:pPr>
    </w:p>
    <w:p w:rsidR="00D53405" w:rsidRPr="001E3810" w:rsidRDefault="00D53405" w:rsidP="005630AF">
      <w:pPr>
        <w:spacing w:after="0" w:line="240" w:lineRule="auto"/>
        <w:jc w:val="center"/>
        <w:rPr>
          <w:rFonts w:ascii="Times New Roman" w:hAnsi="Times New Roman" w:cs="Times New Roman"/>
          <w:b/>
          <w:sz w:val="60"/>
          <w:szCs w:val="60"/>
        </w:rPr>
      </w:pPr>
      <w:r w:rsidRPr="001E3810">
        <w:rPr>
          <w:rFonts w:ascii="Times New Roman" w:hAnsi="Times New Roman" w:cs="Times New Roman"/>
          <w:b/>
          <w:sz w:val="60"/>
          <w:szCs w:val="60"/>
        </w:rPr>
        <w:t xml:space="preserve">НАЦИОНАЛЕН ПЛАН </w:t>
      </w:r>
    </w:p>
    <w:p w:rsidR="00D53405" w:rsidRPr="001E3810" w:rsidRDefault="00D53405" w:rsidP="005630AF">
      <w:pPr>
        <w:spacing w:after="0" w:line="240" w:lineRule="auto"/>
        <w:jc w:val="center"/>
        <w:rPr>
          <w:rFonts w:ascii="Times New Roman" w:hAnsi="Times New Roman" w:cs="Times New Roman"/>
          <w:b/>
          <w:sz w:val="60"/>
          <w:szCs w:val="60"/>
        </w:rPr>
      </w:pPr>
      <w:r w:rsidRPr="001E3810">
        <w:rPr>
          <w:rFonts w:ascii="Times New Roman" w:hAnsi="Times New Roman" w:cs="Times New Roman"/>
          <w:b/>
          <w:sz w:val="60"/>
          <w:szCs w:val="60"/>
        </w:rPr>
        <w:t xml:space="preserve">ЗА ДЕЙСТВИЕ ПО ЗАЕТОСТТА </w:t>
      </w:r>
    </w:p>
    <w:p w:rsidR="00D53405" w:rsidRPr="001E3810" w:rsidRDefault="00D53405" w:rsidP="005630AF">
      <w:pPr>
        <w:spacing w:after="0" w:line="240" w:lineRule="auto"/>
        <w:jc w:val="center"/>
        <w:rPr>
          <w:rFonts w:ascii="Times New Roman" w:hAnsi="Times New Roman" w:cs="Times New Roman"/>
          <w:b/>
          <w:sz w:val="60"/>
          <w:szCs w:val="60"/>
        </w:rPr>
      </w:pPr>
      <w:r w:rsidRPr="001E3810">
        <w:rPr>
          <w:rFonts w:ascii="Times New Roman" w:hAnsi="Times New Roman" w:cs="Times New Roman"/>
          <w:b/>
          <w:sz w:val="60"/>
          <w:szCs w:val="60"/>
        </w:rPr>
        <w:t>ПРЕЗ 2024 г.</w:t>
      </w:r>
    </w:p>
    <w:p w:rsidR="00D53405" w:rsidRPr="001E3810" w:rsidRDefault="00D53405" w:rsidP="005630AF">
      <w:pPr>
        <w:spacing w:after="0" w:line="240" w:lineRule="auto"/>
        <w:jc w:val="center"/>
        <w:rPr>
          <w:rFonts w:ascii="Times New Roman" w:hAnsi="Times New Roman" w:cs="Times New Roman"/>
          <w:b/>
          <w:sz w:val="60"/>
          <w:szCs w:val="60"/>
        </w:rPr>
      </w:pPr>
    </w:p>
    <w:p w:rsidR="00D53405" w:rsidRPr="001E3810" w:rsidRDefault="00D53405" w:rsidP="005630AF">
      <w:pPr>
        <w:spacing w:after="0" w:line="240" w:lineRule="auto"/>
        <w:jc w:val="center"/>
        <w:rPr>
          <w:rFonts w:ascii="Times New Roman" w:hAnsi="Times New Roman" w:cs="Times New Roman"/>
          <w:b/>
          <w:sz w:val="60"/>
          <w:szCs w:val="60"/>
        </w:rPr>
      </w:pPr>
    </w:p>
    <w:p w:rsidR="00D53405" w:rsidRPr="001E3810" w:rsidRDefault="00D53405" w:rsidP="005630AF">
      <w:pPr>
        <w:spacing w:after="0" w:line="240" w:lineRule="auto"/>
        <w:rPr>
          <w:rFonts w:ascii="Times New Roman" w:hAnsi="Times New Roman" w:cs="Times New Roman"/>
          <w:b/>
          <w:sz w:val="60"/>
          <w:szCs w:val="60"/>
        </w:rPr>
      </w:pPr>
    </w:p>
    <w:p w:rsidR="00D53405" w:rsidRPr="001E3810" w:rsidRDefault="00D53405" w:rsidP="006B7772">
      <w:pPr>
        <w:spacing w:after="0" w:line="240" w:lineRule="auto"/>
        <w:jc w:val="center"/>
        <w:rPr>
          <w:rFonts w:ascii="Times New Roman" w:hAnsi="Times New Roman" w:cs="Times New Roman"/>
          <w:b/>
          <w:sz w:val="48"/>
          <w:szCs w:val="48"/>
        </w:rPr>
      </w:pPr>
      <w:r w:rsidRPr="001E3810">
        <w:rPr>
          <w:rFonts w:ascii="Times New Roman" w:hAnsi="Times New Roman" w:cs="Times New Roman"/>
          <w:b/>
          <w:sz w:val="48"/>
          <w:szCs w:val="48"/>
        </w:rPr>
        <w:t xml:space="preserve">За насърчаване на заетостта и повишаване количеството и качеството на предлагания труд в съответствие с потребностите на икономиката </w:t>
      </w:r>
      <w:r w:rsidRPr="001E3810">
        <w:rPr>
          <w:rFonts w:ascii="Times New Roman" w:hAnsi="Times New Roman" w:cs="Times New Roman"/>
          <w:b/>
          <w:sz w:val="48"/>
          <w:szCs w:val="48"/>
        </w:rPr>
        <w:br w:type="page"/>
      </w:r>
    </w:p>
    <w:p w:rsidR="00D53405" w:rsidRPr="001E3810" w:rsidRDefault="00D53405" w:rsidP="00E80486">
      <w:pPr>
        <w:pStyle w:val="ListParagraph"/>
        <w:numPr>
          <w:ilvl w:val="0"/>
          <w:numId w:val="10"/>
        </w:numPr>
        <w:spacing w:after="0" w:line="240" w:lineRule="auto"/>
        <w:ind w:left="709" w:hanging="349"/>
        <w:jc w:val="both"/>
        <w:rPr>
          <w:rFonts w:ascii="Times New Roman" w:hAnsi="Times New Roman" w:cs="Times New Roman"/>
          <w:b/>
          <w:sz w:val="24"/>
          <w:szCs w:val="24"/>
        </w:rPr>
      </w:pPr>
      <w:r w:rsidRPr="001E3810">
        <w:rPr>
          <w:rFonts w:ascii="Times New Roman" w:hAnsi="Times New Roman" w:cs="Times New Roman"/>
          <w:b/>
          <w:sz w:val="24"/>
          <w:szCs w:val="24"/>
        </w:rPr>
        <w:t>МАКРОИКОНОМИЧЕСКА СРЕДА ПРЕЗ 2023 г.</w:t>
      </w:r>
    </w:p>
    <w:p w:rsidR="00D53405" w:rsidRPr="001E3810" w:rsidRDefault="00D53405" w:rsidP="004E5F52">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По предварителни данни за 2023 г., реалният растеж на брутния вътрешен продукт (БВП) на страната достигна 1.8%, при 3.9% година по-рано. Тази динамика е в съответствие и с предварителните очаквания за развитието на българската икономика, както и с динамиката на европейската икономика, която също забави своя растеж. Външната среда остана несигурна, което се обуславяше най-вече от продължаващата война между Русия и Украйна. Икономиката на ЕС остана относително стабилна спрямо колебанията на енергийните пазари, като още от последните месеци на 2022 г. бяха осигурени алтернативни източници, които да заместят доставките на горива от Русия. Фактор, който също допринесе за забавянето на европейската икономика, е и политиката на Европейската централна банка (ЕЦБ) на затягане на кредитния пазар и за борба с високата ценова инфлация, което доведе до неколкократно повишаване на основния лихвен процент в еврозоната. Към края на 2023 г. лихвеният процент по основните операции по рефинансиране на ЕЦБ бе 4.50%. Във вътрешен план трябва да се изтъкне политическата нестабилност в страната, поради която до 01.08.2023 г. нямаше приет държавен бюджет, което имаше задържащ ефект върху програмите и мерките на правителството.</w:t>
      </w:r>
    </w:p>
    <w:p w:rsidR="00D53405" w:rsidRPr="001E3810" w:rsidRDefault="00D53405" w:rsidP="004E5F52">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Основни движещи фактори за реалния ръст на БВП са потреблението и нетният износ. Крайното потребление нарасна с 4.0% (по цени от предходната година), като водещо значение имаше ръста на индивидуалното потребление и потреблението на домакинствата. Вътрешното търсене е основния елемент, който води до по-висок реален икономически растеж, особено в условията на ускорено номинално нарастване на цените заради все още сравнително високите инфлационни равнища. Повишаването на заплатите (в частния и обществения сектор), както и актуализацията на пенсиите са причините за ръста на крайното потребление. При брутообразуването на основен капитал също отбелязват ръст от 3.3%. Износът спада с 1.9% в постоянни цени, докато вносът намалява със 6.3% и сумарно нетният износ е с положителен принос за ръста на българската икономика. Брутната добавена стойност отбеляза ръст от 0.8%, като всички основни икономически сектори (промишленост, строителство и услуги) отбелязват положителни темпове на растеж с изключение на аграрния сектор.</w:t>
      </w:r>
    </w:p>
    <w:p w:rsidR="00D53405" w:rsidRPr="001E3810" w:rsidRDefault="00D53405" w:rsidP="004E5F52">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Тенденцията на намаление на инфлация в страната, която започна през последното тримесечие на 2022 г., се запази и през 2023 г. Годишният темп на инфлация според хармонизирания индекс на потребителските цени (ХИПЦ) към края на годината бе 5.0%. Това до голяма степен се дължеше на понижението в цените на основните суровини и най-вече на енергийните стоки, търгувани на международните пазари, както и проявлението на базов ефект от ускореното нарастване на показателя през предходната година. Номиналният ръст на компенсациите на наетите лица е 14.9%, което надхвърля регистрираната в страната инфлация. </w:t>
      </w:r>
    </w:p>
    <w:p w:rsidR="00D53405" w:rsidRDefault="00D53405" w:rsidP="001E398B">
      <w:pPr>
        <w:spacing w:after="0" w:line="240" w:lineRule="auto"/>
        <w:jc w:val="both"/>
        <w:rPr>
          <w:rFonts w:ascii="Times New Roman" w:hAnsi="Times New Roman" w:cs="Times New Roman"/>
          <w:sz w:val="24"/>
          <w:szCs w:val="24"/>
        </w:rPr>
      </w:pPr>
    </w:p>
    <w:p w:rsidR="00D53405" w:rsidRPr="001E3810" w:rsidRDefault="00D53405" w:rsidP="001E398B">
      <w:pPr>
        <w:spacing w:after="0" w:line="240" w:lineRule="auto"/>
        <w:jc w:val="both"/>
        <w:rPr>
          <w:rFonts w:ascii="Times New Roman" w:hAnsi="Times New Roman" w:cs="Times New Roman"/>
          <w:sz w:val="24"/>
          <w:szCs w:val="24"/>
        </w:rPr>
      </w:pPr>
    </w:p>
    <w:p w:rsidR="00D53405" w:rsidRPr="001E3810" w:rsidRDefault="00D53405" w:rsidP="001E398B">
      <w:pPr>
        <w:pStyle w:val="ListParagraph"/>
        <w:numPr>
          <w:ilvl w:val="0"/>
          <w:numId w:val="10"/>
        </w:num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ОЧАКВАНИЯ ЗА РАЗВИТИЕТО НА ИКОНОМИКАТА И ПАЗАРА НА ТРУДА ПРЕЗ 2024 г.</w:t>
      </w:r>
    </w:p>
    <w:p w:rsidR="00D53405" w:rsidRPr="001E3810" w:rsidRDefault="00D53405" w:rsidP="00BC11B2">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През 2024 г. се очаква растежът на БВП да се ускори до 3.2%. Очаква се темпът на растеж на бруто образуване на основен капитал да достигне 8.5% поради по-високо нарастване на публичните разходи за инвестиции, което да бъде подкрепено и от активизиране на частните инвестиции. При потреблението се очаква растежа да се запази висок от 4.2%, което да бъде подкрепяно от реалното нарастване на разполагаемия доход. Подобряването на външната среда се очаква да допринесе за реален ръст на износа на стоки и услуги, но възстановеното вътрешно търсене се очаква да доведе и до ръст на вноса, който да надхвърли ръста на вноса и общия принос на нетния износ се очаква да е отрицателен.</w:t>
      </w:r>
    </w:p>
    <w:p w:rsidR="00D53405" w:rsidRPr="001E3810" w:rsidRDefault="00D53405" w:rsidP="00136400">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Започналият процес на постепенно забавяне на ръста на потребителските цени се очаква да продължи и през 2024 г. Инфлацията в края на 2024 г. се очаква да се понижи до 2.3%, а средногодишната да бъде 2.4%. Последните данни на НСИ към края на март 2024 г. разкриват, че нивото на ХИПЦ е намаляло до 3.3%.</w:t>
      </w:r>
    </w:p>
    <w:p w:rsidR="00D53405" w:rsidRPr="001E3810" w:rsidRDefault="00D53405" w:rsidP="00136400">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През 2024 г. броят на заетите в страната се очаква да продължи да нараства с 0.5%. Коефициентът на икономическа активност на населението се очаква да продължи да нараства, а коефициентът на безработица плавно да намалява. За 2024 г. средногодишната стойност на последния показател се очаква да достигне 4.2%. Очаква се също така растежът на компенсацията на един нает да се забави до 9.3% през 2024 г. и до 5.8% през 2025 г.</w:t>
      </w:r>
    </w:p>
    <w:p w:rsidR="00D53405" w:rsidRPr="001E3810" w:rsidRDefault="00D53405" w:rsidP="00136400">
      <w:pPr>
        <w:spacing w:after="0" w:line="240" w:lineRule="auto"/>
        <w:ind w:firstLine="720"/>
        <w:jc w:val="both"/>
        <w:rPr>
          <w:rFonts w:ascii="Times New Roman" w:hAnsi="Times New Roman" w:cs="Times New Roman"/>
          <w:sz w:val="24"/>
          <w:szCs w:val="24"/>
        </w:rPr>
      </w:pPr>
    </w:p>
    <w:p w:rsidR="00D53405" w:rsidRPr="001E3810" w:rsidRDefault="00D53405" w:rsidP="001E398B">
      <w:pPr>
        <w:spacing w:after="0" w:line="240" w:lineRule="auto"/>
        <w:jc w:val="both"/>
        <w:rPr>
          <w:rFonts w:ascii="Times New Roman" w:hAnsi="Times New Roman" w:cs="Times New Roman"/>
          <w:sz w:val="24"/>
          <w:szCs w:val="24"/>
        </w:rPr>
      </w:pPr>
    </w:p>
    <w:p w:rsidR="00D53405" w:rsidRPr="001E3810" w:rsidRDefault="00D53405" w:rsidP="00242D52">
      <w:pPr>
        <w:pStyle w:val="ListParagraph"/>
        <w:numPr>
          <w:ilvl w:val="0"/>
          <w:numId w:val="10"/>
        </w:numPr>
        <w:spacing w:after="0" w:line="240" w:lineRule="auto"/>
        <w:ind w:left="1077"/>
        <w:rPr>
          <w:rFonts w:ascii="Times New Roman" w:hAnsi="Times New Roman" w:cs="Times New Roman"/>
          <w:b/>
          <w:sz w:val="24"/>
          <w:szCs w:val="24"/>
        </w:rPr>
      </w:pPr>
      <w:r w:rsidRPr="001E3810">
        <w:rPr>
          <w:rFonts w:ascii="Times New Roman" w:hAnsi="Times New Roman" w:cs="Times New Roman"/>
          <w:b/>
          <w:sz w:val="24"/>
          <w:szCs w:val="24"/>
        </w:rPr>
        <w:t>ЗАЕТОСТ И БЕЗРАБОТИЦА. АНАЛИЗ НА ГРУПИТЕ В НЕРАВНОСТОЙНО ПОЛОЖЕНИЕ НА ПАЗАРА НА ТРУДА</w:t>
      </w:r>
    </w:p>
    <w:p w:rsidR="00D53405" w:rsidRPr="001E3810" w:rsidRDefault="00D53405" w:rsidP="00242D52">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Развитието на пазара на труда в България през 2023 г. беше повлияно от редица фактори на средата като навлизането на цифровите технологии във всички сфери на социално-икономическия живот, негативните демографски процеси, свързани с намаляване на населението в трудоспособна възраст, зеления преход и др. Тези процеси доведоха до наличие на междурегионални различия и несъответствия по отношение на предлагането и търсенето на работна сила с конкретни образователно-квалификационни характеристики и умения. Броят на лицата от т. нар. традиционни целеви групи на активната политика на пазара на труда (младежи, възрастни, хора с увреждания) постепенно намалява, като тяхното разпределение на територията на страната е неравномерно и поради тази причина са необходими допълнителни усилия на регионално ниво за тяхната интеграция на пазара на труда. </w:t>
      </w:r>
    </w:p>
    <w:p w:rsidR="00D53405" w:rsidRPr="001E3810" w:rsidRDefault="00D53405" w:rsidP="005E4EAA">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По данни на Наблюдението на работната сила, провеждано от НСИ, през 2023 г. общият брой на заетите лица e 2 931.9 хил., от които 1 553.5 хил., или 53.0%, са мъже и 1 378.4 хил., или 47.0%, са жени. Коефициентът на заетост за населението на възраст 15 и повече навършени години е 53.3% (59.4% за мъжете и 47.7% за жените). В сектора на услугите работят 1 898.4 хил. души, или 64.8% от заетите, в индустрията - 867.1 хил. (29.6%), а в селското, горското и рибното стопанство - 166.4 хил. (5.7%). </w:t>
      </w:r>
    </w:p>
    <w:p w:rsidR="00D53405" w:rsidRPr="001E3810" w:rsidRDefault="00D53405" w:rsidP="005E4EAA">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По статус в заетостта заетите лица се разпределят по следния начин: 4.1% (119.6 хил.) са работодатели, 6.8% (198.1 хил.) - самостоятелно заети без наети, 88.7% (2 600.8 хил.) - наети, и 0.5% (13.4 хил.) - неплатени семейни работници. От общия брой на наетите 2 003.2 хил. (77.0%) работят в частния сектор, а 597.6 хил. (23.0%) – в обществения. </w:t>
      </w:r>
    </w:p>
    <w:p w:rsidR="00D53405" w:rsidRPr="001E3810" w:rsidRDefault="00D53405" w:rsidP="005E4EAA">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Заетите лица на възраст 15 - 64 навършени години са 2 821.7 хиляди. Коефициентът на заетост за населението в същата възрастова група е 70.7% (73.9% за мъжете и 67.4% за жените), с 0.3 п.п. по-висок спрямо 2022 г. и с 0.3 п.п. по-нисък спрямо планираната целева стойност за изпълнение на показателя през 2023 г. от 71 %. </w:t>
      </w:r>
    </w:p>
    <w:p w:rsidR="00D53405" w:rsidRPr="001E3810" w:rsidRDefault="00D53405" w:rsidP="00FA16C5">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Коефициентът на заетост за населението на възраст 20 - 64 навършени години е 76.2%, с 0.2 п.п. по-висок от планираната целева стойност за 2023 г. (76%) и се увеличава с 0.5 п.п. спрямо стойността на показателя през 2022 г. (75.5 %). При мъжете коефициентът на заетост за тази възрастова група е 79.9%, а при жените - 72.6%. Коефициентът на заетост за възрастовата група 55 - 64 навършени години е 69.5% (74.0% за мъжете и 65.3% за жените), като нараства с 1.3 п.п. спрямо данните за предходната година и е с 0.5 п.п. по-нисък в сравнение със заложената целева стойност за 2023 г. от 70%. </w:t>
      </w:r>
    </w:p>
    <w:p w:rsidR="00D53405" w:rsidRPr="001E3810" w:rsidRDefault="00D53405" w:rsidP="008B1AAB">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През 2023 г. икономически активните лица на възраст 15 - 64 навършени години са 2 951.4 хил., или 73.9% от населението на същата възраст. В сравнение с 2022 г. коефициентът на икономическа активност се увеличава с 0.2 процентни пункта.</w:t>
      </w:r>
    </w:p>
    <w:p w:rsidR="00D53405" w:rsidRPr="001E3810" w:rsidRDefault="00D53405" w:rsidP="005E4EAA">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Икономически неактивните лица на възраст 15 - 64 навършени години са 1 041.2 хил., от които 457.3 хил. са мъже и 583.9 хил. са жени. Коефициентът на икономическа неактивност (15 - 64 навършени години) е 26.1% - съответно 22.7% за мъжете и 29.6% за жените. Броят на обезкуражените лица на възраст 15 - 64 навършени години е 37.0 хил., или 3.6% от всички икономически неактивни лица в същата възрастова група.</w:t>
      </w:r>
    </w:p>
    <w:p w:rsidR="00D53405" w:rsidRPr="001E3810" w:rsidRDefault="00D53405" w:rsidP="00E17834">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Наблюдението на работната сила показва, че през 2023 г. безработните лица (15-74 г.) са 132.4 хил., от които 71.7 хил. (54.1%) са мъже и 60.7 хил. (45.9%) - жени. Коефициентът на безработица е 4.3% (4.4% за мъжете и 4.2% за жените), като в сравнение с 2022 г. нараства с 0.2 процентни пункта (същото е и увеличението спрямо планираната целева стойност от 4.1% за 2023 г.). От всички безработни лица 14.4% са с висше образование, 53.8% - със средно, и 31.8% - с основно или по-ниско образование. </w:t>
      </w:r>
    </w:p>
    <w:p w:rsidR="00D53405" w:rsidRPr="001E3810" w:rsidRDefault="00D53405" w:rsidP="00E17834">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Коефициентът на безработица за възрастовата група 15 - 29 навършени години е 8.0%, при 7.9 % през 2022 г. и с 1 п.п. по-висок спрямо планираната целева стойност за 2023 г. от 7%. </w:t>
      </w:r>
    </w:p>
    <w:p w:rsidR="00D53405" w:rsidRPr="001E3810" w:rsidRDefault="00D53405" w:rsidP="00242D52">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Данните от Агенцията по заетостта (АЗ) показват, че през 2023 г. регистрираните безработни лица в бюрата по труда са 151 496, отбелязвайки увеличение на годишна база с 2.5% спрямо 2022 г. От всички неравнопоставени групи най-многобройна продължава да е групата на лицата с основно и по-ниско образование и без професионална квалификация.</w:t>
      </w:r>
    </w:p>
    <w:p w:rsidR="00D53405" w:rsidRPr="001E3810" w:rsidRDefault="00D53405" w:rsidP="00242D52">
      <w:pPr>
        <w:pStyle w:val="ListParagraph"/>
        <w:numPr>
          <w:ilvl w:val="0"/>
          <w:numId w:val="16"/>
        </w:num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Безработни лица без професионална квалификация</w:t>
      </w:r>
    </w:p>
    <w:p w:rsidR="00D53405" w:rsidRPr="001E3810" w:rsidRDefault="00D53405" w:rsidP="00242D52">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 xml:space="preserve">През 2023 г. безработните лица без професионална квалификация са 84 917 съставляват 56,1% от всички регистрирани безработни като техният брой се увеличава с 3 635 на годишна база спрямо 2022 г. Най-много са безработните лица без професионална квалификация в областите Благоевград - 6 927 (ръст от 375 лица), Пловдив - 6 519 (ръст от 296 лица) и Пазарджик - 5 021 (ръст от 471). През 2023 г. най-малко са били безработните лица без квалификация в областите Габрово – 654 (ръст от 10 лица), Перник – 956 (намаление от 14 лица) и Ямбол – 1 349 (намаление от 95 лица). </w:t>
      </w:r>
    </w:p>
    <w:p w:rsidR="00D53405" w:rsidRPr="001E3810" w:rsidRDefault="00D53405" w:rsidP="00242D52">
      <w:pPr>
        <w:pStyle w:val="ListParagraph"/>
        <w:numPr>
          <w:ilvl w:val="0"/>
          <w:numId w:val="15"/>
        </w:numPr>
        <w:spacing w:after="0" w:line="240" w:lineRule="auto"/>
        <w:jc w:val="both"/>
        <w:rPr>
          <w:rFonts w:ascii="Times New Roman" w:hAnsi="Times New Roman" w:cs="Times New Roman"/>
          <w:sz w:val="24"/>
          <w:szCs w:val="24"/>
        </w:rPr>
      </w:pPr>
      <w:r w:rsidRPr="001E3810">
        <w:rPr>
          <w:rFonts w:ascii="Times New Roman" w:hAnsi="Times New Roman" w:cs="Times New Roman"/>
          <w:b/>
          <w:sz w:val="24"/>
          <w:szCs w:val="24"/>
        </w:rPr>
        <w:t>Безработни с основно и по-ниско образование</w:t>
      </w:r>
    </w:p>
    <w:p w:rsidR="00D53405" w:rsidRPr="001E3810" w:rsidRDefault="00D53405" w:rsidP="000F3326">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Безработните лица с основно и по-ниско образование са 65 671 лица и съставляват 43,3% от всички регистрирани безработни като техният брой се увеличава с 3 049 лица на годишна база спрямо 2022 г. Най-много са безработните лица с основно и по-ниско образование в областите Пловдив – 5 222 (ръст от 230 лица), Благоевград – 5 068 (ръст от 201 лица) и Шумен – 4 009 (ръст от 399 лица). През 2023 г. най-малко са били безработните лица с основно и ниско образование в областите Габрово – 381 (ръст от 1 лица), Перник – 592 (намаление с 21 лица)  и София-град – 642 (намаление с 51 лица).</w:t>
      </w:r>
    </w:p>
    <w:p w:rsidR="00D53405" w:rsidRPr="001E3810" w:rsidRDefault="00D53405" w:rsidP="00242D52">
      <w:pPr>
        <w:pStyle w:val="ListParagraph"/>
        <w:numPr>
          <w:ilvl w:val="0"/>
          <w:numId w:val="15"/>
        </w:numPr>
        <w:spacing w:after="0" w:line="240" w:lineRule="auto"/>
        <w:jc w:val="both"/>
        <w:rPr>
          <w:rFonts w:ascii="Times New Roman" w:hAnsi="Times New Roman" w:cs="Times New Roman"/>
          <w:sz w:val="24"/>
          <w:szCs w:val="24"/>
        </w:rPr>
      </w:pPr>
      <w:r w:rsidRPr="001E3810">
        <w:rPr>
          <w:rFonts w:ascii="Times New Roman" w:hAnsi="Times New Roman" w:cs="Times New Roman"/>
          <w:b/>
          <w:sz w:val="24"/>
          <w:szCs w:val="24"/>
        </w:rPr>
        <w:t>Безработни лица с трайни увреждания</w:t>
      </w:r>
    </w:p>
    <w:p w:rsidR="00D53405" w:rsidRPr="001E3810" w:rsidRDefault="00D53405" w:rsidP="00242D52">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Броят на безработните лица с трайни увреждания, регистрирани в бюрата по труда в 10 129 и техният дял е 6,7% от всички регистрирани безработни като техният брой се увеличава с 566 лица на годишна база спрямо 2022 г. Най-много безработни лица с увреждания са регистрирани в областите София – град – 692 (ръст от 82 лица), Враца – 618 (ръст от 52 лица) и Благоевград – 615 (ръст от 65 лица). През 2023 г. най-малко са били безработните лица с увреждания в областите Ямбол – 154 (намаление от 2 лица), Габрово – 188 (ръст от 27 лица) и Добрич – 229 (намаление от 6 лица).</w:t>
      </w:r>
    </w:p>
    <w:p w:rsidR="00D53405" w:rsidRPr="001E3810" w:rsidRDefault="00D53405" w:rsidP="00242D52">
      <w:pPr>
        <w:pStyle w:val="ListParagraph"/>
        <w:numPr>
          <w:ilvl w:val="0"/>
          <w:numId w:val="14"/>
        </w:numPr>
        <w:spacing w:after="0" w:line="240" w:lineRule="auto"/>
        <w:jc w:val="both"/>
        <w:rPr>
          <w:rFonts w:ascii="Times New Roman" w:hAnsi="Times New Roman" w:cs="Times New Roman"/>
          <w:sz w:val="24"/>
          <w:szCs w:val="24"/>
        </w:rPr>
      </w:pPr>
      <w:r w:rsidRPr="001E3810">
        <w:rPr>
          <w:rFonts w:ascii="Times New Roman" w:hAnsi="Times New Roman" w:cs="Times New Roman"/>
          <w:b/>
          <w:sz w:val="24"/>
          <w:szCs w:val="24"/>
        </w:rPr>
        <w:t>Безработни младежи до 29 г. (вкл.) без трудов стаж по придобитата специалност</w:t>
      </w:r>
    </w:p>
    <w:p w:rsidR="00D53405" w:rsidRDefault="00D53405" w:rsidP="00242D52">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Броят на безработните младежи до 29 г. (вкл.) без трудов стаж по придобитата специалност, регистрирани в бюрата по труда, е 10 558, като техният дял e 7 % от всички регистрирани безработни лица. Броят им на годишна база се увеличава с 370 лица спрямо 2022 г. Най-много безработни младежи до 29 г. (вкл.) без трудов стаж по придобитата специалност, са регистрирани в областите Пловдив – 1 020 лица (ръст от 42 лица спрямо 2022 г.), Благоевград – 699 лица (ръст от 8 лица спрямо данните от 2022 г.) и Пазарджик – 681 лица (ръст от 104 лица спрямо 2022 г.). През 2023 г. най-малко са били безработните младежи до 29 г. (вкл.) без трудов стаж по придобитата специалност в областите Габрово – 78 (намаление с 6 лица спрямо 2022 г.), Перник – 149 лица (ръст от 4 лица спрямо данните от 2022 г.) и Смолян – 149 лица (намаление с 14 лица спрямо 2022 г.).</w:t>
      </w:r>
    </w:p>
    <w:p w:rsidR="00D53405" w:rsidRPr="001E3810" w:rsidRDefault="00D53405" w:rsidP="00242D52">
      <w:pPr>
        <w:spacing w:after="0" w:line="240" w:lineRule="auto"/>
        <w:jc w:val="both"/>
        <w:rPr>
          <w:rFonts w:ascii="Times New Roman" w:hAnsi="Times New Roman" w:cs="Times New Roman"/>
          <w:sz w:val="24"/>
          <w:szCs w:val="24"/>
        </w:rPr>
      </w:pPr>
    </w:p>
    <w:p w:rsidR="00D53405" w:rsidRPr="001E3810" w:rsidRDefault="00D53405" w:rsidP="00242D52">
      <w:pPr>
        <w:pStyle w:val="ListParagraph"/>
        <w:numPr>
          <w:ilvl w:val="0"/>
          <w:numId w:val="13"/>
        </w:num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Безработни лица над 55-годишна възраст</w:t>
      </w:r>
    </w:p>
    <w:p w:rsidR="00D53405" w:rsidRPr="001E3810" w:rsidRDefault="00D53405" w:rsidP="00242D52">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 xml:space="preserve">Броят на безработните лица над 55-годишна възраст, регистрирани в бюрата по труда, е 43 710, като техният дял е 29 % от всички регистрирани безработни лица. Броят им на годишна база се увеличава с 1 815 лица спрямо 2022 г. През 2023 г. най-много безработни лица над 55-годишна възраст са регистрирани в областите Благоевград – 3 588 лица (ръст от 251 лица спрямо данните за 2022 г.), Пловдив – 2 871 лица (ръст от 171 лица спрямо 2022 г.) и Пазарджик – 2 338 лица (ръст от 170 лица спрямо 2022 г.). През 2023 г. най-малко са били безработните лица над 55-годишна възраст в областите Габрово – 561 лица (ръст от 69 лица спрямо 2022 г.), Перник – 580 лица (намаление с 22 лица спрямо данните за 2022 г.) и Ямбол – 725 лица (намаление с 39 лица спрямо 2022 г.). </w:t>
      </w:r>
    </w:p>
    <w:p w:rsidR="00D53405" w:rsidRPr="001E3810" w:rsidRDefault="00D53405" w:rsidP="00242D52">
      <w:pPr>
        <w:pStyle w:val="ListParagraph"/>
        <w:numPr>
          <w:ilvl w:val="0"/>
          <w:numId w:val="12"/>
        </w:num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Продължително безработни лица</w:t>
      </w:r>
    </w:p>
    <w:p w:rsidR="00D53405" w:rsidRDefault="00D53405" w:rsidP="00242D52">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През 2023 г. броят на продължително безработните лица, с регистрация в бюрото по труда е 32 976 и  техният дял е 21.8 % от всички регистрирани безработни лица. Броят им на годишна база намалява с 2 549 лица. През 2023 г. най-много продължително безработни лица има в областите Благоевград – 2 511 лица (намаление с 546 лица спрямо данните за 2022 г.), Враца – 2 354 лица (намаление с 327 лица спрямо 2022 г.) и Шумен – 2 311 лица (ръст от 7 лица спрямо 2022 г.). През 2023 г. най-малко са били продължително безработните лица в областите Габрово – 147 лица (намаление с 5 лица спрямо 2022 г.), София–град – 247 лица (ръст от 5 лица спрямо 2022 г.) и Добрич – 315 лица (намаление с 32 лица спрямо 2022 г.).</w:t>
      </w:r>
    </w:p>
    <w:p w:rsidR="00D53405" w:rsidRDefault="00D53405" w:rsidP="00242D52">
      <w:pPr>
        <w:spacing w:after="0" w:line="240" w:lineRule="auto"/>
        <w:jc w:val="both"/>
        <w:rPr>
          <w:rFonts w:ascii="Times New Roman" w:hAnsi="Times New Roman" w:cs="Times New Roman"/>
          <w:sz w:val="24"/>
          <w:szCs w:val="24"/>
        </w:rPr>
      </w:pPr>
    </w:p>
    <w:p w:rsidR="00D53405" w:rsidRPr="001E3810" w:rsidRDefault="00D53405" w:rsidP="00242D52">
      <w:pPr>
        <w:spacing w:after="0" w:line="240" w:lineRule="auto"/>
        <w:jc w:val="both"/>
        <w:rPr>
          <w:rFonts w:ascii="Times New Roman" w:hAnsi="Times New Roman" w:cs="Times New Roman"/>
          <w:sz w:val="24"/>
          <w:szCs w:val="24"/>
        </w:rPr>
      </w:pPr>
    </w:p>
    <w:p w:rsidR="00D53405" w:rsidRPr="001E3810" w:rsidRDefault="00D53405" w:rsidP="001E398B">
      <w:pPr>
        <w:pStyle w:val="ListParagraph"/>
        <w:numPr>
          <w:ilvl w:val="0"/>
          <w:numId w:val="10"/>
        </w:num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ВИЗИЯ, ЦЕЛИ И ПРИОРИТЕТИ НА ПОЛИТИКАТА ПО ЗАЕТОСТТА ПРЕЗ 2024 г.</w:t>
      </w:r>
    </w:p>
    <w:p w:rsidR="00D53405" w:rsidRPr="001E3810" w:rsidRDefault="00D53405" w:rsidP="00F95184">
      <w:pPr>
        <w:spacing w:after="0" w:line="240" w:lineRule="auto"/>
        <w:ind w:firstLine="709"/>
        <w:jc w:val="both"/>
        <w:rPr>
          <w:rFonts w:ascii="Times New Roman" w:hAnsi="Times New Roman" w:cs="Times New Roman"/>
          <w:sz w:val="24"/>
          <w:lang w:eastAsia="bg-BG"/>
        </w:rPr>
      </w:pPr>
      <w:r w:rsidRPr="001E3810">
        <w:rPr>
          <w:rFonts w:ascii="Times New Roman" w:hAnsi="Times New Roman" w:cs="Times New Roman"/>
          <w:sz w:val="24"/>
          <w:lang w:eastAsia="bg-BG"/>
        </w:rPr>
        <w:t>Националният план за действие по заетостта през 2024 г. (НПДЗ-2024), поставя акцент върху дейностите за подобряване на пригодността за заетост на работната сила и социално-икономическата интеграция на групите в неравностойно положение на пазара на труда.</w:t>
      </w:r>
    </w:p>
    <w:p w:rsidR="00D53405" w:rsidRPr="001E3810" w:rsidRDefault="00D53405" w:rsidP="00C6467C">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b/>
          <w:sz w:val="24"/>
          <w:szCs w:val="24"/>
        </w:rPr>
        <w:t xml:space="preserve">Визията на политиката по заетостта за 2024 г. </w:t>
      </w:r>
      <w:r w:rsidRPr="001E3810">
        <w:rPr>
          <w:rFonts w:ascii="Times New Roman" w:hAnsi="Times New Roman" w:cs="Times New Roman"/>
          <w:sz w:val="24"/>
          <w:szCs w:val="24"/>
        </w:rPr>
        <w:t xml:space="preserve">e задържане равнището на безработица на ниски нива, вкл. сред неравнопоставените групи на пазара на труда; повишаване на предлагането на работна сила чрез активиране на икономически неактивни лица и създаване на възможности за внос на работници от чужбина; повишаване качеството на трудовите ресурси според изискванията на работните места и новите предизвикателства, свързани със зеления и дигиталния преход. </w:t>
      </w:r>
    </w:p>
    <w:p w:rsidR="00D53405" w:rsidRPr="001E3810" w:rsidRDefault="00D53405" w:rsidP="00C6467C">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b/>
          <w:sz w:val="24"/>
          <w:szCs w:val="24"/>
        </w:rPr>
        <w:t>Основната цел</w:t>
      </w:r>
      <w:r w:rsidRPr="001E3810">
        <w:rPr>
          <w:rFonts w:ascii="Times New Roman" w:hAnsi="Times New Roman" w:cs="Times New Roman"/>
          <w:sz w:val="24"/>
          <w:szCs w:val="24"/>
        </w:rPr>
        <w:t xml:space="preserve"> на Националния план за действие по заетостта през 2024 г. е повишаване количеството и качеството на предлагания труд в съответствие с потребностите на икономиката. Стратегическите цели за постигане на основната цел на политиката по заетостта през 2024 г. са:</w:t>
      </w:r>
    </w:p>
    <w:p w:rsidR="00D53405" w:rsidRPr="001E3810" w:rsidRDefault="00D53405" w:rsidP="00242D52">
      <w:pPr>
        <w:pStyle w:val="ListParagraph"/>
        <w:numPr>
          <w:ilvl w:val="0"/>
          <w:numId w:val="12"/>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Повишаване качеството на работната сила;</w:t>
      </w:r>
    </w:p>
    <w:p w:rsidR="00D53405" w:rsidRPr="001E3810" w:rsidRDefault="00D53405" w:rsidP="00242D52">
      <w:pPr>
        <w:pStyle w:val="ListParagraph"/>
        <w:numPr>
          <w:ilvl w:val="0"/>
          <w:numId w:val="12"/>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Повишаване на заетостта и намаляване на безработицата сред безработните в неравностойно положение на пазара на труда.</w:t>
      </w:r>
    </w:p>
    <w:p w:rsidR="00D53405" w:rsidRPr="001E3810" w:rsidRDefault="00D53405" w:rsidP="00F95184">
      <w:pPr>
        <w:spacing w:after="0" w:line="240" w:lineRule="auto"/>
        <w:ind w:firstLine="709"/>
        <w:jc w:val="both"/>
        <w:rPr>
          <w:rFonts w:ascii="Times New Roman" w:hAnsi="Times New Roman" w:cs="Times New Roman"/>
          <w:sz w:val="24"/>
          <w:szCs w:val="24"/>
        </w:rPr>
      </w:pPr>
    </w:p>
    <w:p w:rsidR="00D53405" w:rsidRPr="001E3810" w:rsidRDefault="00D53405" w:rsidP="00F95184">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Изпълнението на НПДЗ-2024 ще допринесе за изпълнението на целите, заложени в Стратегията по заетостта на Република България 2021-2030 г. Целите на настоящия план са съобразени с приоритетите от Стратегията по заетостта 2021 – 2030 г. и по-конкретно:</w:t>
      </w:r>
    </w:p>
    <w:p w:rsidR="00D53405" w:rsidRPr="001E3810" w:rsidRDefault="00D53405" w:rsidP="005630AF">
      <w:pPr>
        <w:pStyle w:val="ListParagraph"/>
        <w:numPr>
          <w:ilvl w:val="0"/>
          <w:numId w:val="6"/>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 xml:space="preserve">достигането на заетост на нива от 2019 г., съчетано с реализиране на мерки за повишаване качеството на работната сила с фокус върху придобиването на дигитални умения и пригодността ѝ за заемане на нови работни места; </w:t>
      </w:r>
    </w:p>
    <w:p w:rsidR="00D53405" w:rsidRPr="001E3810" w:rsidRDefault="00D53405" w:rsidP="005630AF">
      <w:pPr>
        <w:pStyle w:val="ListParagraph"/>
        <w:numPr>
          <w:ilvl w:val="0"/>
          <w:numId w:val="6"/>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увеличаване на предлагането на работна сила като все повече неактивни лица, безработни от неравнопоставените групи на пазара на труда (младежи, продължително безработни, хора с увреждания, безработни над 55г., ранни пенсионери и др., приоритетно от икономически по-слабо развитите региони), се включат на пазара на труда като търсещи работа.</w:t>
      </w:r>
    </w:p>
    <w:p w:rsidR="00D53405" w:rsidRPr="001E3810" w:rsidRDefault="00D53405" w:rsidP="006B7772">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За постигане на целите, заложени в НПДЗ за 2024 г. и въз основа на идентифицираните предизвикателства на пазара на труда и тенденциите, наблюдавани сред целевите групи,  са формулирани следните </w:t>
      </w:r>
      <w:r w:rsidRPr="001E3810">
        <w:rPr>
          <w:rFonts w:ascii="Times New Roman" w:hAnsi="Times New Roman" w:cs="Times New Roman"/>
          <w:b/>
          <w:sz w:val="24"/>
          <w:szCs w:val="24"/>
        </w:rPr>
        <w:t>приоритетни направления</w:t>
      </w:r>
      <w:r w:rsidRPr="001E3810">
        <w:rPr>
          <w:rFonts w:ascii="Times New Roman" w:hAnsi="Times New Roman" w:cs="Times New Roman"/>
          <w:sz w:val="24"/>
          <w:szCs w:val="24"/>
        </w:rPr>
        <w:t xml:space="preserve"> на политиката по заетостта:</w:t>
      </w:r>
    </w:p>
    <w:p w:rsidR="00D53405" w:rsidRPr="001E3810" w:rsidRDefault="00D53405" w:rsidP="006B7772">
      <w:pPr>
        <w:pStyle w:val="ListParagraph"/>
        <w:numPr>
          <w:ilvl w:val="0"/>
          <w:numId w:val="9"/>
        </w:numPr>
        <w:spacing w:after="0" w:line="240" w:lineRule="auto"/>
        <w:jc w:val="both"/>
        <w:rPr>
          <w:rFonts w:ascii="Times New Roman" w:hAnsi="Times New Roman" w:cs="Times New Roman"/>
          <w:sz w:val="24"/>
          <w:szCs w:val="24"/>
        </w:rPr>
      </w:pPr>
      <w:r w:rsidRPr="001E3810">
        <w:rPr>
          <w:rFonts w:ascii="Times New Roman" w:hAnsi="Times New Roman" w:cs="Times New Roman"/>
          <w:b/>
          <w:sz w:val="24"/>
          <w:szCs w:val="24"/>
        </w:rPr>
        <w:t>Повишаване качеството на работната сила</w:t>
      </w:r>
      <w:r w:rsidRPr="001E3810">
        <w:rPr>
          <w:rFonts w:ascii="Times New Roman" w:hAnsi="Times New Roman" w:cs="Times New Roman"/>
          <w:sz w:val="24"/>
          <w:szCs w:val="24"/>
        </w:rPr>
        <w:t xml:space="preserve"> в контекста на дигитализацията на икономиката и справедливия преход към климатична неутралност, както и за запазване заетостта и подобряване адаптивността на заетите лица;</w:t>
      </w:r>
    </w:p>
    <w:p w:rsidR="00D53405" w:rsidRPr="001E3810" w:rsidRDefault="00D53405" w:rsidP="006B7772">
      <w:pPr>
        <w:pStyle w:val="ListParagraph"/>
        <w:numPr>
          <w:ilvl w:val="0"/>
          <w:numId w:val="9"/>
        </w:numPr>
        <w:spacing w:after="0" w:line="240" w:lineRule="auto"/>
        <w:jc w:val="both"/>
        <w:rPr>
          <w:rFonts w:ascii="Times New Roman" w:hAnsi="Times New Roman" w:cs="Times New Roman"/>
          <w:sz w:val="24"/>
          <w:szCs w:val="24"/>
        </w:rPr>
      </w:pPr>
      <w:r w:rsidRPr="001E3810">
        <w:rPr>
          <w:rFonts w:ascii="Times New Roman" w:hAnsi="Times New Roman" w:cs="Times New Roman"/>
          <w:b/>
          <w:sz w:val="24"/>
          <w:szCs w:val="24"/>
        </w:rPr>
        <w:t>Повишаване предлагането на труд чрез насърчаване икономическата активност на населението</w:t>
      </w:r>
      <w:r w:rsidRPr="001E3810">
        <w:rPr>
          <w:rFonts w:ascii="Times New Roman" w:hAnsi="Times New Roman" w:cs="Times New Roman"/>
          <w:sz w:val="24"/>
          <w:szCs w:val="24"/>
        </w:rPr>
        <w:t xml:space="preserve"> и подобряване достъпа до пазара на труда за работници от чужбина, включително с български произход;</w:t>
      </w:r>
    </w:p>
    <w:p w:rsidR="00D53405" w:rsidRPr="001E3810" w:rsidRDefault="00D53405" w:rsidP="006B7772">
      <w:pPr>
        <w:pStyle w:val="ListParagraph"/>
        <w:numPr>
          <w:ilvl w:val="0"/>
          <w:numId w:val="9"/>
        </w:numPr>
        <w:spacing w:after="0" w:line="240" w:lineRule="auto"/>
        <w:jc w:val="both"/>
        <w:rPr>
          <w:rFonts w:ascii="Times New Roman" w:hAnsi="Times New Roman" w:cs="Times New Roman"/>
          <w:sz w:val="24"/>
          <w:szCs w:val="24"/>
        </w:rPr>
      </w:pPr>
      <w:r w:rsidRPr="001E3810">
        <w:rPr>
          <w:rFonts w:ascii="Times New Roman" w:hAnsi="Times New Roman" w:cs="Times New Roman"/>
          <w:b/>
          <w:sz w:val="24"/>
          <w:szCs w:val="24"/>
        </w:rPr>
        <w:t>Насърчаване на заетостта</w:t>
      </w:r>
      <w:r w:rsidRPr="001E3810">
        <w:rPr>
          <w:rFonts w:ascii="Times New Roman" w:hAnsi="Times New Roman" w:cs="Times New Roman"/>
          <w:sz w:val="24"/>
          <w:szCs w:val="24"/>
        </w:rPr>
        <w:t xml:space="preserve"> и чрез създаване на възможности за интеграция на неравнопоставените групи на пазара на труда.</w:t>
      </w:r>
    </w:p>
    <w:p w:rsidR="00D53405" w:rsidRPr="001E3810" w:rsidRDefault="00D53405" w:rsidP="006B7772">
      <w:pPr>
        <w:spacing w:after="0" w:line="240" w:lineRule="auto"/>
        <w:jc w:val="both"/>
        <w:rPr>
          <w:rFonts w:ascii="Times New Roman" w:hAnsi="Times New Roman" w:cs="Times New Roman"/>
          <w:sz w:val="24"/>
          <w:szCs w:val="24"/>
        </w:rPr>
      </w:pPr>
    </w:p>
    <w:p w:rsidR="00D53405" w:rsidRPr="001E3810" w:rsidRDefault="00D53405" w:rsidP="006B7772">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През 2024 г. </w:t>
      </w:r>
      <w:r w:rsidRPr="001E3810">
        <w:rPr>
          <w:rFonts w:ascii="Times New Roman" w:hAnsi="Times New Roman" w:cs="Times New Roman"/>
          <w:b/>
          <w:sz w:val="24"/>
          <w:szCs w:val="24"/>
        </w:rPr>
        <w:t>приоритетни целеви групи на активната политика</w:t>
      </w:r>
      <w:r w:rsidRPr="001E3810">
        <w:rPr>
          <w:rFonts w:ascii="Times New Roman" w:hAnsi="Times New Roman" w:cs="Times New Roman"/>
          <w:sz w:val="24"/>
          <w:szCs w:val="24"/>
        </w:rPr>
        <w:t xml:space="preserve"> ще бъдат </w:t>
      </w:r>
      <w:r w:rsidRPr="001E3810">
        <w:rPr>
          <w:rFonts w:ascii="Times New Roman" w:hAnsi="Times New Roman" w:cs="Times New Roman"/>
          <w:b/>
          <w:sz w:val="24"/>
          <w:szCs w:val="24"/>
        </w:rPr>
        <w:t xml:space="preserve">младежите, </w:t>
      </w:r>
      <w:r w:rsidRPr="001E3810">
        <w:rPr>
          <w:rFonts w:ascii="Times New Roman" w:hAnsi="Times New Roman" w:cs="Times New Roman"/>
          <w:sz w:val="24"/>
          <w:szCs w:val="24"/>
        </w:rPr>
        <w:t>които не работят и не учат до 29 г. (вкл.)</w:t>
      </w:r>
      <w:r w:rsidRPr="001E3810">
        <w:rPr>
          <w:rFonts w:ascii="Times New Roman" w:hAnsi="Times New Roman" w:cs="Times New Roman"/>
          <w:b/>
          <w:sz w:val="24"/>
          <w:szCs w:val="24"/>
        </w:rPr>
        <w:t xml:space="preserve"> </w:t>
      </w:r>
      <w:r w:rsidRPr="001E3810">
        <w:rPr>
          <w:rFonts w:ascii="Times New Roman" w:hAnsi="Times New Roman" w:cs="Times New Roman"/>
          <w:sz w:val="24"/>
          <w:szCs w:val="24"/>
        </w:rPr>
        <w:t xml:space="preserve">и </w:t>
      </w:r>
      <w:r w:rsidRPr="001E3810">
        <w:rPr>
          <w:rFonts w:ascii="Times New Roman" w:hAnsi="Times New Roman" w:cs="Times New Roman"/>
          <w:b/>
          <w:sz w:val="24"/>
          <w:szCs w:val="24"/>
        </w:rPr>
        <w:t>продължително безработните лица</w:t>
      </w:r>
      <w:r w:rsidRPr="001E3810">
        <w:rPr>
          <w:rFonts w:ascii="Times New Roman" w:hAnsi="Times New Roman" w:cs="Times New Roman"/>
          <w:sz w:val="24"/>
          <w:szCs w:val="24"/>
        </w:rPr>
        <w:t xml:space="preserve">. </w:t>
      </w:r>
    </w:p>
    <w:p w:rsidR="00D53405" w:rsidRPr="001E3810" w:rsidRDefault="00D53405" w:rsidP="00D64481">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Особено внимание ще се поставя на следните групи безработни лица:</w:t>
      </w:r>
    </w:p>
    <w:p w:rsidR="00D53405" w:rsidRPr="001E3810" w:rsidRDefault="00D53405" w:rsidP="00242D52">
      <w:pPr>
        <w:pStyle w:val="ListParagraph"/>
        <w:numPr>
          <w:ilvl w:val="0"/>
          <w:numId w:val="17"/>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 xml:space="preserve">безработни младежи до 29 г. (вкл.) без трудов стаж по придобита  специалност; </w:t>
      </w:r>
    </w:p>
    <w:p w:rsidR="00D53405" w:rsidRPr="001E3810" w:rsidRDefault="00D53405" w:rsidP="00242D52">
      <w:pPr>
        <w:pStyle w:val="ListParagraph"/>
        <w:numPr>
          <w:ilvl w:val="0"/>
          <w:numId w:val="17"/>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безработни лица над 55-годишна възраст;</w:t>
      </w:r>
    </w:p>
    <w:p w:rsidR="00D53405" w:rsidRPr="001E3810" w:rsidRDefault="00D53405" w:rsidP="00242D52">
      <w:pPr>
        <w:pStyle w:val="ListParagraph"/>
        <w:numPr>
          <w:ilvl w:val="0"/>
          <w:numId w:val="17"/>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безработни с основно и по-ниско образование;</w:t>
      </w:r>
    </w:p>
    <w:p w:rsidR="00D53405" w:rsidRPr="001E3810" w:rsidRDefault="00D53405" w:rsidP="00242D52">
      <w:pPr>
        <w:pStyle w:val="ListParagraph"/>
        <w:numPr>
          <w:ilvl w:val="0"/>
          <w:numId w:val="17"/>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безработни без професионална квалификация;</w:t>
      </w:r>
    </w:p>
    <w:p w:rsidR="00D53405" w:rsidRPr="001E3810" w:rsidRDefault="00D53405" w:rsidP="00242D52">
      <w:pPr>
        <w:pStyle w:val="ListParagraph"/>
        <w:numPr>
          <w:ilvl w:val="0"/>
          <w:numId w:val="17"/>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безработни лица с трайни увреждания;</w:t>
      </w:r>
    </w:p>
    <w:p w:rsidR="00D53405" w:rsidRPr="001E3810" w:rsidRDefault="00D53405" w:rsidP="00242D52">
      <w:pPr>
        <w:pStyle w:val="ListParagraph"/>
        <w:numPr>
          <w:ilvl w:val="0"/>
          <w:numId w:val="17"/>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лица, ползващи се от временна закрила с регистрация в бюрата по труда.</w:t>
      </w:r>
    </w:p>
    <w:p w:rsidR="00D53405" w:rsidRPr="001E3810" w:rsidRDefault="00D53405" w:rsidP="009204E2">
      <w:pPr>
        <w:spacing w:after="0" w:line="240" w:lineRule="auto"/>
        <w:ind w:firstLine="851"/>
        <w:jc w:val="both"/>
        <w:rPr>
          <w:rFonts w:ascii="Times New Roman" w:hAnsi="Times New Roman" w:cs="Times New Roman"/>
          <w:sz w:val="24"/>
          <w:szCs w:val="24"/>
        </w:rPr>
      </w:pPr>
      <w:r w:rsidRPr="001E3810">
        <w:rPr>
          <w:rFonts w:ascii="Times New Roman" w:hAnsi="Times New Roman" w:cs="Times New Roman"/>
          <w:sz w:val="24"/>
          <w:szCs w:val="24"/>
        </w:rPr>
        <w:t xml:space="preserve">Активната политика на пазара на труда включва и други целеви групи (например: </w:t>
      </w:r>
      <w:r w:rsidRPr="001E3810">
        <w:rPr>
          <w:rFonts w:ascii="Times New Roman" w:hAnsi="Times New Roman" w:cs="Times New Roman"/>
          <w:sz w:val="24"/>
          <w:szCs w:val="24"/>
          <w:lang w:eastAsia="bg-BG"/>
        </w:rPr>
        <w:t>безработни лица – родители (осиновители) с деца до 4-годишна възраст; безработни лица, изтърпели наказание лишаване от свобода и др.</w:t>
      </w:r>
      <w:r w:rsidRPr="001E3810">
        <w:rPr>
          <w:rFonts w:ascii="Times New Roman" w:hAnsi="Times New Roman" w:cs="Times New Roman"/>
          <w:sz w:val="24"/>
          <w:szCs w:val="24"/>
        </w:rPr>
        <w:t xml:space="preserve">), които са със специфични характеристики и за тяхната успешна интеграция на пазара на труда се прилага системен индивидуален подход. В същото време се идентифицират нови целеви групи, вследствие на кризи от различен характер (здравна, хуманитарна и др.). Имайки предвид все по-острата необходимост за повишаване икономическата активност на населението е необходимо да се подобрява достъпът до пазара на труда на лицата от тези групи. </w:t>
      </w:r>
    </w:p>
    <w:p w:rsidR="00D53405" w:rsidRPr="001E3810" w:rsidRDefault="00D53405" w:rsidP="00F952C6">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В тази връзка безработните лица ще бъдат включени в обучения, програми, проекти и мерки от НПДЗ-2024 г. съгласно техните индивидуални планове, в които действията ще се определят според профила на лицето и неговите шансове за устройване на работа. </w:t>
      </w:r>
    </w:p>
    <w:p w:rsidR="00D53405" w:rsidRPr="001E3810" w:rsidRDefault="00D53405" w:rsidP="00F952C6">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През 2024 г. средствата за активна политика на пазара на труда от държавния бюджет са в размер на 88 млн. лв., с 15 млн. лв. повече в сравнение с 2023 г. </w:t>
      </w:r>
    </w:p>
    <w:p w:rsidR="00D53405" w:rsidRPr="001E3810" w:rsidRDefault="00D53405" w:rsidP="00F952C6">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В резултат на изпълнението на всички действия, програми, проекти и мерки, заложени в НПДЗ-2024 г., се очаква да бъдат постигнати следните конкретни резултати: </w:t>
      </w:r>
    </w:p>
    <w:p w:rsidR="00D53405" w:rsidRPr="001E3810" w:rsidRDefault="00D53405" w:rsidP="00F952C6">
      <w:pPr>
        <w:numPr>
          <w:ilvl w:val="0"/>
          <w:numId w:val="8"/>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Коефициент на заетост за групата 15 - 64 г. – 71%;</w:t>
      </w:r>
    </w:p>
    <w:p w:rsidR="00D53405" w:rsidRPr="001E3810" w:rsidRDefault="00D53405" w:rsidP="00F952C6">
      <w:pPr>
        <w:numPr>
          <w:ilvl w:val="0"/>
          <w:numId w:val="8"/>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Коефициент на заетост за групата 20 - 64 г. – 77%;</w:t>
      </w:r>
    </w:p>
    <w:p w:rsidR="00D53405" w:rsidRPr="001E3810" w:rsidRDefault="00D53405" w:rsidP="00F952C6">
      <w:pPr>
        <w:numPr>
          <w:ilvl w:val="0"/>
          <w:numId w:val="8"/>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Коефициент на заетост сред по-възрастните лица (55-64 г.) – 70%;</w:t>
      </w:r>
    </w:p>
    <w:p w:rsidR="00D53405" w:rsidRPr="001E3810" w:rsidRDefault="00D53405" w:rsidP="00F952C6">
      <w:pPr>
        <w:numPr>
          <w:ilvl w:val="0"/>
          <w:numId w:val="8"/>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Коефициент на безработица (по данни от НРС) – 4%;</w:t>
      </w:r>
    </w:p>
    <w:p w:rsidR="00D53405" w:rsidRPr="001E3810" w:rsidRDefault="00D53405" w:rsidP="00F952C6">
      <w:pPr>
        <w:numPr>
          <w:ilvl w:val="0"/>
          <w:numId w:val="8"/>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Коефициент на безработица за групата 15 - 29 г. – 7.6%;</w:t>
      </w:r>
    </w:p>
    <w:p w:rsidR="00D53405" w:rsidRPr="001E3810" w:rsidRDefault="00D53405" w:rsidP="00F952C6">
      <w:pPr>
        <w:numPr>
          <w:ilvl w:val="0"/>
          <w:numId w:val="2"/>
        </w:num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Осигуряване на заетост със средства от държавния бюджет на 9 911 безработни и обучение на 9 009 безработни и заети лица.</w:t>
      </w:r>
    </w:p>
    <w:p w:rsidR="00D53405" w:rsidRPr="001E3810" w:rsidRDefault="00D53405" w:rsidP="006B7772">
      <w:pPr>
        <w:spacing w:after="0" w:line="240" w:lineRule="auto"/>
        <w:ind w:firstLine="720"/>
        <w:jc w:val="both"/>
        <w:rPr>
          <w:rFonts w:ascii="Times New Roman" w:hAnsi="Times New Roman" w:cs="Times New Roman"/>
          <w:sz w:val="24"/>
          <w:szCs w:val="24"/>
        </w:rPr>
      </w:pPr>
    </w:p>
    <w:p w:rsidR="00D53405" w:rsidRPr="001E3810" w:rsidRDefault="00D53405" w:rsidP="003025ED">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 xml:space="preserve">Действията, програмите, проектите и мерките, насочени към създаване на възможности за обучение на възрастни и интегриране на неравнопоставените групи на пазара на труда са съгласно приоритетните направления на политиката по заетостта през 2024 г. </w:t>
      </w:r>
    </w:p>
    <w:p w:rsidR="00D53405" w:rsidRPr="001E3810" w:rsidRDefault="00D53405" w:rsidP="00944BFC">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ab/>
        <w:t>Промените на пазара на труда и развитието на активната политика изискват периодично провеждане на оценка и проследяване на ефекта от прилаганите програми и мерки на пазара на труда. Последната подобна оценка е правена през 2019 г. с финансиране по ОП „Развитие на човешките ресурси“. В тази връзка е предвидено до 2027 г. с финансиране по програма „Развитие на човешките ресурси“ да бъдат проведени две нови оценки на ефекта от активната политика на пазара на труда, при които освен нетна оценка на активната политика на пазара на труда, финансирана със средства от държавния бюджет (програмите и мерките, включени в НПДЗ-2021 г. и в НПДЗ-2024 г.), ще се направи и оценка на предоставяните от Агенцията по заетостта услуги за заетост, както и оценка на ефективността от провежданите обучения по отношение на професионалната реализация на лицата, участвали в тях.</w:t>
      </w: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Pr="001E3810" w:rsidRDefault="00D53405" w:rsidP="005630AF">
      <w:pPr>
        <w:spacing w:after="0" w:line="240" w:lineRule="auto"/>
        <w:jc w:val="both"/>
        <w:rPr>
          <w:rFonts w:ascii="Times New Roman" w:hAnsi="Times New Roman" w:cs="Times New Roman"/>
          <w:sz w:val="24"/>
          <w:szCs w:val="24"/>
        </w:rPr>
        <w:sectPr w:rsidR="00D53405" w:rsidRPr="001E3810" w:rsidSect="00CD5567">
          <w:footerReference w:type="default" r:id="rId7"/>
          <w:pgSz w:w="12240" w:h="15840"/>
          <w:pgMar w:top="1135" w:right="1185" w:bottom="851" w:left="1440" w:header="709" w:footer="215" w:gutter="0"/>
          <w:cols w:space="708"/>
          <w:docGrid w:linePitch="360"/>
        </w:sectPr>
      </w:pPr>
    </w:p>
    <w:p w:rsidR="00D53405" w:rsidRPr="001E3810" w:rsidRDefault="00D53405" w:rsidP="00242D52">
      <w:pPr>
        <w:pStyle w:val="ListParagraph"/>
        <w:numPr>
          <w:ilvl w:val="0"/>
          <w:numId w:val="10"/>
        </w:numPr>
        <w:spacing w:after="0" w:line="240" w:lineRule="auto"/>
        <w:jc w:val="both"/>
        <w:rPr>
          <w:rFonts w:ascii="Times New Roman" w:hAnsi="Times New Roman" w:cs="Times New Roman"/>
          <w:b/>
          <w:sz w:val="24"/>
        </w:rPr>
      </w:pPr>
      <w:r w:rsidRPr="001E3810">
        <w:rPr>
          <w:rFonts w:ascii="Times New Roman" w:hAnsi="Times New Roman" w:cs="Times New Roman"/>
          <w:b/>
          <w:sz w:val="24"/>
          <w:szCs w:val="24"/>
        </w:rPr>
        <w:t xml:space="preserve">ДЕЙСТВИЯ ЗА ПОСТИГАНЕ НА СТРАТЕГИЧЕСКИТЕ ЦЕЛИ НА ПОЛИТИКАТА ПО ЗАЕТОСТТА ПРЕЗ 2024 </w:t>
      </w:r>
      <w:r>
        <w:rPr>
          <w:rFonts w:ascii="Times New Roman" w:hAnsi="Times New Roman" w:cs="Times New Roman"/>
          <w:b/>
          <w:sz w:val="24"/>
          <w:szCs w:val="24"/>
        </w:rPr>
        <w:t>г</w:t>
      </w:r>
      <w:r w:rsidRPr="001E3810">
        <w:rPr>
          <w:rFonts w:ascii="Times New Roman" w:hAnsi="Times New Roman" w:cs="Times New Roman"/>
          <w:b/>
          <w:sz w:val="24"/>
          <w:szCs w:val="24"/>
        </w:rPr>
        <w:t>.</w:t>
      </w:r>
    </w:p>
    <w:p w:rsidR="00D53405" w:rsidRPr="001E3810" w:rsidRDefault="00D53405" w:rsidP="00CD3656">
      <w:pPr>
        <w:spacing w:after="0" w:line="240" w:lineRule="auto"/>
        <w:jc w:val="both"/>
        <w:rPr>
          <w:rFonts w:ascii="Times New Roman" w:hAnsi="Times New Roman" w:cs="Times New Roman"/>
          <w:b/>
          <w:sz w:val="24"/>
          <w:szCs w:val="24"/>
        </w:rPr>
      </w:pPr>
    </w:p>
    <w:p w:rsidR="00D53405" w:rsidRPr="001E3810" w:rsidRDefault="00D53405" w:rsidP="00CD3656">
      <w:pPr>
        <w:spacing w:after="0" w:line="240" w:lineRule="auto"/>
        <w:jc w:val="both"/>
        <w:rPr>
          <w:rFonts w:ascii="Times New Roman" w:hAnsi="Times New Roman" w:cs="Times New Roman"/>
          <w:b/>
          <w:sz w:val="24"/>
        </w:rPr>
      </w:pPr>
      <w:r w:rsidRPr="001E3810">
        <w:rPr>
          <w:rFonts w:ascii="Times New Roman" w:hAnsi="Times New Roman" w:cs="Times New Roman"/>
          <w:b/>
          <w:sz w:val="24"/>
          <w:szCs w:val="24"/>
        </w:rPr>
        <w:t xml:space="preserve">Стратегическа цел 1.: </w:t>
      </w:r>
      <w:r w:rsidRPr="001E3810">
        <w:rPr>
          <w:rFonts w:ascii="Times New Roman" w:hAnsi="Times New Roman" w:cs="Times New Roman"/>
          <w:b/>
          <w:sz w:val="24"/>
        </w:rPr>
        <w:t>Повишаване качеството на работната сила</w:t>
      </w:r>
    </w:p>
    <w:p w:rsidR="00D53405" w:rsidRPr="001E3810" w:rsidRDefault="00D53405" w:rsidP="00C60565">
      <w:pPr>
        <w:widowControl w:val="0"/>
        <w:tabs>
          <w:tab w:val="left" w:pos="0"/>
        </w:tabs>
        <w:suppressAutoHyphens/>
        <w:spacing w:after="0" w:line="240" w:lineRule="auto"/>
        <w:jc w:val="both"/>
        <w:rPr>
          <w:rFonts w:ascii="Times New Roman" w:hAnsi="Times New Roman" w:cs="Times New Roman"/>
          <w:sz w:val="24"/>
          <w:lang w:eastAsia="bg-BG"/>
        </w:rPr>
      </w:pPr>
    </w:p>
    <w:p w:rsidR="00D53405" w:rsidRPr="001E3810" w:rsidRDefault="00D53405" w:rsidP="00C60565">
      <w:pPr>
        <w:widowControl w:val="0"/>
        <w:tabs>
          <w:tab w:val="left" w:pos="0"/>
        </w:tabs>
        <w:suppressAutoHyphens/>
        <w:spacing w:after="0" w:line="240" w:lineRule="auto"/>
        <w:jc w:val="both"/>
        <w:rPr>
          <w:rFonts w:ascii="Times New Roman" w:hAnsi="Times New Roman" w:cs="Times New Roman"/>
          <w:sz w:val="24"/>
          <w:lang w:eastAsia="bg-BG"/>
        </w:rPr>
      </w:pPr>
      <w:r w:rsidRPr="001E3810">
        <w:rPr>
          <w:rFonts w:ascii="Times New Roman" w:hAnsi="Times New Roman" w:cs="Times New Roman"/>
          <w:sz w:val="24"/>
          <w:lang w:eastAsia="bg-BG"/>
        </w:rPr>
        <w:t xml:space="preserve">Със Стратегията по заетостта на Р България 2021-2027 г. е заложена амбициозната цел до 2030 г. да се достигне участие на 35,4% от българското население на възраст 25-64 г. в обучение всяка година. За да се постигне тази цел ежегодно ще се изпълняват мерки, програми и проекти за обучение с финансиране от държавния бюджет, Националния план за възстановяване и устойчивост (НПВУ) и Програмата „Развитие на човешките ресурси“ (ПРЧР). </w:t>
      </w:r>
    </w:p>
    <w:p w:rsidR="00D53405" w:rsidRPr="001E3810" w:rsidRDefault="00D53405" w:rsidP="00C60565">
      <w:pPr>
        <w:widowControl w:val="0"/>
        <w:tabs>
          <w:tab w:val="left" w:pos="0"/>
        </w:tabs>
        <w:suppressAutoHyphens/>
        <w:spacing w:after="0" w:line="240" w:lineRule="auto"/>
        <w:jc w:val="both"/>
        <w:rPr>
          <w:rFonts w:ascii="Times New Roman" w:hAnsi="Times New Roman" w:cs="Times New Roman"/>
          <w:sz w:val="24"/>
          <w:lang w:eastAsia="bg-BG"/>
        </w:rPr>
      </w:pPr>
      <w:r w:rsidRPr="001E3810">
        <w:rPr>
          <w:rFonts w:ascii="Times New Roman" w:hAnsi="Times New Roman" w:cs="Times New Roman"/>
          <w:sz w:val="24"/>
          <w:lang w:eastAsia="bg-BG"/>
        </w:rPr>
        <w:t xml:space="preserve">През 2024 г. ще бъдат осигурени възможности за включване в обучения за придобиване на професионална квалификация, придобиване и усъвършенстване на ключови компетентности, </w:t>
      </w:r>
      <w:r w:rsidRPr="001E3810">
        <w:rPr>
          <w:rFonts w:ascii="Times New Roman" w:hAnsi="Times New Roman" w:cs="Arial"/>
          <w:sz w:val="24"/>
          <w:szCs w:val="24"/>
          <w:lang w:eastAsia="bg-BG"/>
        </w:rPr>
        <w:t xml:space="preserve">обучения на работното място под формата на стажуване – за лица с квалификация и без трудов стаж по професията, чиракуване под ръководството на наставник – за лица с основно и по-ниско образование и без квалификация, обучения чрез работа (дуална система на обучение) </w:t>
      </w:r>
      <w:r w:rsidRPr="001E3810">
        <w:rPr>
          <w:rFonts w:ascii="Times New Roman" w:hAnsi="Times New Roman" w:cs="Times New Roman"/>
          <w:sz w:val="24"/>
          <w:lang w:eastAsia="bg-BG"/>
        </w:rPr>
        <w:t>и валидиране на професионални знания, умения и компетентности.</w:t>
      </w:r>
      <w:r w:rsidRPr="001E3810">
        <w:rPr>
          <w:rFonts w:ascii="Times New Roman" w:hAnsi="Times New Roman" w:cs="Arial"/>
          <w:sz w:val="24"/>
          <w:szCs w:val="24"/>
          <w:lang w:eastAsia="bg-BG"/>
        </w:rPr>
        <w:t xml:space="preserve"> Обученията ще се предхождат от услуги, предоставяне от дирекции „Бюро по труда“ по информиране, консултиране и насочване на лицата, мотивиране, професионално ориентиране.</w:t>
      </w:r>
    </w:p>
    <w:p w:rsidR="00D53405" w:rsidRPr="001E3810" w:rsidRDefault="00D53405" w:rsidP="00C60565">
      <w:pPr>
        <w:widowControl w:val="0"/>
        <w:tabs>
          <w:tab w:val="left" w:pos="0"/>
        </w:tabs>
        <w:suppressAutoHyphens/>
        <w:spacing w:after="0" w:line="240" w:lineRule="auto"/>
        <w:jc w:val="both"/>
        <w:rPr>
          <w:rFonts w:ascii="Times New Roman" w:hAnsi="Times New Roman" w:cs="Times New Roman"/>
          <w:sz w:val="24"/>
          <w:lang w:eastAsia="bg-BG"/>
        </w:rPr>
      </w:pPr>
      <w:r w:rsidRPr="001E3810">
        <w:rPr>
          <w:rFonts w:ascii="Times New Roman" w:hAnsi="Times New Roman" w:cs="Times New Roman"/>
          <w:sz w:val="24"/>
          <w:lang w:eastAsia="bg-BG"/>
        </w:rPr>
        <w:t xml:space="preserve">През 2024 г. ще стартират обученията чрез електронни ваучери, като ще се започне с обучения за дигитални умения. Право на обучение за дигитални умения ще имат безработни, заети и неактивни лица. В обученията за дигитални умения ще се прилага единен подход чрез разработените единни програми за обучение, електронни ресурси за обучение и електронни инструменти за оценка по четирите основни нива – базово, средно, напреднало и високоспециализирано в съответствие с Европейската рамка за цифрова компетентност DigComp. Обученията за дигитални умения ще може да се провеждат по избор на лицето присъствено или онлайн. Ще се предоставят и възможности за явяване директно на изпит и сертифициране на дигитални умения, придобити чрез самостоятелно учене. Изпитването и сертифицирането на дигитални умения, придобити след обучение или чрез самостоятелно учене, ще се осъществява от разстояние онлайн в електронния модул на Единния сертификационен център за цифрова компетентност – Център за развитие на човешките ресурси и регионални инициативи, с единните инструменти за оценка на дигитални умения. </w:t>
      </w:r>
    </w:p>
    <w:p w:rsidR="00D53405" w:rsidRPr="001E3810" w:rsidRDefault="00D53405" w:rsidP="00C60565">
      <w:pPr>
        <w:widowControl w:val="0"/>
        <w:tabs>
          <w:tab w:val="left" w:pos="0"/>
        </w:tabs>
        <w:suppressAutoHyphens/>
        <w:spacing w:after="0" w:line="240" w:lineRule="auto"/>
        <w:jc w:val="both"/>
        <w:rPr>
          <w:rFonts w:ascii="Times New Roman" w:hAnsi="Times New Roman" w:cs="Times New Roman"/>
          <w:sz w:val="24"/>
          <w:lang w:eastAsia="bg-BG"/>
        </w:rPr>
      </w:pPr>
      <w:r w:rsidRPr="001E3810">
        <w:rPr>
          <w:rFonts w:ascii="Times New Roman" w:hAnsi="Times New Roman" w:cs="Times New Roman"/>
          <w:sz w:val="24"/>
          <w:lang w:eastAsia="bg-BG"/>
        </w:rPr>
        <w:t xml:space="preserve">През 2024 г. ще се разработи методика за остойностяване на разходите, които да бъдат финансирани от бюджета за активна политика на пазара на труда във връзка с реализиране на процедурите за валидиране на професионални знания, умения и компетентности. </w:t>
      </w:r>
    </w:p>
    <w:p w:rsidR="00D53405" w:rsidRPr="001E3810" w:rsidRDefault="00D53405" w:rsidP="00C60565">
      <w:pPr>
        <w:widowControl w:val="0"/>
        <w:tabs>
          <w:tab w:val="left" w:pos="0"/>
        </w:tabs>
        <w:suppressAutoHyphens/>
        <w:spacing w:after="0" w:line="240" w:lineRule="auto"/>
        <w:jc w:val="both"/>
        <w:rPr>
          <w:rFonts w:ascii="Times New Roman" w:hAnsi="Times New Roman" w:cs="Times New Roman"/>
          <w:sz w:val="24"/>
          <w:lang w:eastAsia="bg-BG"/>
        </w:rPr>
      </w:pPr>
      <w:r w:rsidRPr="001E3810">
        <w:rPr>
          <w:rFonts w:ascii="Times New Roman" w:hAnsi="Times New Roman" w:cs="Times New Roman"/>
          <w:sz w:val="24"/>
          <w:lang w:eastAsia="bg-BG"/>
        </w:rPr>
        <w:t xml:space="preserve">Ще се стартират дейности по актуализиране и надграждане на разработените прогнози за развитието на пазара на труда. Прогнозите ще бъдат допълнени с анализ на очакваните промени на пазара на труда, вкл. и в резултат на дигиталната трансформация и от гл. т. на нововъзникващи и изчезващи професии и работни места. Отчитайки ефектите на зеления преход, политиката на пазара на труда ще бъде подпомогната чрез реализиране на проучване за идентифициране и картографиране на наличните умения и нагласите за развитие на заетите лица в секторите, засегнати от нисковъглеродния преход в областите Стара Загора, Кюстендил и Перник. Тези дейности ще бъдат реализирани в партньорство с национално представителните организации на работниците и служителите в България. </w:t>
      </w:r>
    </w:p>
    <w:p w:rsidR="00D53405" w:rsidRPr="001E3810" w:rsidRDefault="00D53405" w:rsidP="00C60565">
      <w:pPr>
        <w:widowControl w:val="0"/>
        <w:tabs>
          <w:tab w:val="left" w:pos="0"/>
        </w:tabs>
        <w:suppressAutoHyphens/>
        <w:spacing w:after="0" w:line="240" w:lineRule="auto"/>
        <w:jc w:val="both"/>
        <w:rPr>
          <w:rFonts w:ascii="Times New Roman" w:hAnsi="Times New Roman" w:cs="Times New Roman"/>
          <w:sz w:val="24"/>
          <w:lang w:eastAsia="bg-BG"/>
        </w:rPr>
      </w:pPr>
      <w:r w:rsidRPr="001E3810">
        <w:rPr>
          <w:rFonts w:ascii="Times New Roman" w:hAnsi="Times New Roman" w:cs="Times New Roman"/>
          <w:sz w:val="24"/>
          <w:lang w:eastAsia="bg-BG"/>
        </w:rPr>
        <w:t xml:space="preserve">През 2024 г. МТСП, съвместно със социалните партньори, ще работи активно за въвеждането на инструменти и механизми за учене през целия живот и по-конкретно на индивидуалните сметки за обучение и тристранните секторни фондове за квалификация и преквалификация. За целта ще бъдат разработени концепции за въвеждането на индивидуалните сметки и тристранните секторни фондове, както и конкретни проекти (в т.ч. с финансиране по Програма „Развитие на човешките ресурси“) за тяхното тестване и пилотно въвеждане. </w:t>
      </w:r>
    </w:p>
    <w:p w:rsidR="00D53405" w:rsidRPr="001E3810" w:rsidRDefault="00D53405" w:rsidP="00C60565">
      <w:pPr>
        <w:widowControl w:val="0"/>
        <w:tabs>
          <w:tab w:val="left" w:pos="0"/>
        </w:tabs>
        <w:suppressAutoHyphens/>
        <w:spacing w:after="0" w:line="240" w:lineRule="auto"/>
        <w:jc w:val="both"/>
        <w:rPr>
          <w:rFonts w:ascii="Times New Roman" w:hAnsi="Times New Roman" w:cs="Times New Roman"/>
          <w:sz w:val="24"/>
          <w:lang w:eastAsia="bg-BG"/>
        </w:rPr>
      </w:pPr>
      <w:r w:rsidRPr="001E3810">
        <w:rPr>
          <w:rFonts w:ascii="Times New Roman" w:hAnsi="Times New Roman" w:cs="Times New Roman"/>
          <w:sz w:val="24"/>
          <w:lang w:eastAsia="bg-BG"/>
        </w:rPr>
        <w:t>Ще продължат дейностите по разработване и финализиране на План за действие по политиките за уменията в България, съвместно осъществявани от МОН, МТСП и социалните партньори по проект с Центъра за уменията на ОИСР и ГД „Реформи“ на Европейската комисия.</w:t>
      </w:r>
    </w:p>
    <w:p w:rsidR="00D53405" w:rsidRPr="001E3810" w:rsidRDefault="00D53405" w:rsidP="00C60565">
      <w:pPr>
        <w:spacing w:after="0" w:line="240" w:lineRule="auto"/>
        <w:jc w:val="both"/>
        <w:rPr>
          <w:rFonts w:ascii="Times New Roman" w:hAnsi="Times New Roman" w:cs="Times New Roman"/>
          <w:b/>
          <w:sz w:val="24"/>
          <w:szCs w:val="24"/>
        </w:rPr>
      </w:pPr>
    </w:p>
    <w:p w:rsidR="00D53405" w:rsidRPr="001E3810" w:rsidRDefault="00D53405" w:rsidP="00C60565">
      <w:p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Оперативна цел 1.1.: Повишаване качеството на работната сила в контекста на дигитализацията на икономиката и справедливия преход към климатична неутралност, както и за запазване заетостта и подобряване адаптивността на заетите лица</w:t>
      </w:r>
    </w:p>
    <w:p w:rsidR="00D53405" w:rsidRPr="001E3810" w:rsidRDefault="00D53405" w:rsidP="00C60565">
      <w:pPr>
        <w:spacing w:after="0" w:line="240" w:lineRule="auto"/>
        <w:jc w:val="both"/>
        <w:rPr>
          <w:rFonts w:ascii="Times New Roman" w:hAnsi="Times New Roman" w:cs="Times New Roman"/>
          <w:b/>
          <w:sz w:val="24"/>
          <w:szCs w:val="24"/>
        </w:rPr>
      </w:pPr>
    </w:p>
    <w:tbl>
      <w:tblPr>
        <w:tblW w:w="15024"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7"/>
        <w:gridCol w:w="1556"/>
        <w:gridCol w:w="1276"/>
        <w:gridCol w:w="2879"/>
        <w:gridCol w:w="1516"/>
        <w:gridCol w:w="1702"/>
        <w:gridCol w:w="11"/>
        <w:gridCol w:w="1530"/>
        <w:gridCol w:w="1577"/>
      </w:tblGrid>
      <w:tr w:rsidR="00D53405" w:rsidRPr="001E3810" w:rsidTr="002C6596">
        <w:trPr>
          <w:trHeight w:val="478"/>
          <w:tblHeader/>
        </w:trPr>
        <w:tc>
          <w:tcPr>
            <w:tcW w:w="2977"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Дейности</w:t>
            </w:r>
          </w:p>
        </w:tc>
        <w:tc>
          <w:tcPr>
            <w:tcW w:w="1556"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Бюджет за 2024 г.</w:t>
            </w:r>
          </w:p>
        </w:tc>
        <w:tc>
          <w:tcPr>
            <w:tcW w:w="1276"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Срок за реализация</w:t>
            </w:r>
          </w:p>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(месец и година)</w:t>
            </w:r>
          </w:p>
        </w:tc>
        <w:tc>
          <w:tcPr>
            <w:tcW w:w="2879"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Очаквани резултати за 2024 г.</w:t>
            </w:r>
          </w:p>
        </w:tc>
        <w:tc>
          <w:tcPr>
            <w:tcW w:w="3229" w:type="dxa"/>
            <w:gridSpan w:val="3"/>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Индикатори за изпълнение</w:t>
            </w:r>
          </w:p>
        </w:tc>
        <w:tc>
          <w:tcPr>
            <w:tcW w:w="3107" w:type="dxa"/>
            <w:gridSpan w:val="2"/>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Отговорни институции</w:t>
            </w:r>
          </w:p>
        </w:tc>
      </w:tr>
      <w:tr w:rsidR="00D53405" w:rsidRPr="001E3810" w:rsidTr="002C6596">
        <w:trPr>
          <w:trHeight w:val="511"/>
          <w:tblHeader/>
        </w:trPr>
        <w:tc>
          <w:tcPr>
            <w:tcW w:w="2977"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556"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276"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2879"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516"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 xml:space="preserve">Текущ към края на </w:t>
            </w:r>
          </w:p>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2023 г.</w:t>
            </w:r>
          </w:p>
        </w:tc>
        <w:tc>
          <w:tcPr>
            <w:tcW w:w="1702"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Цели за 2024 г.</w:t>
            </w:r>
          </w:p>
        </w:tc>
        <w:tc>
          <w:tcPr>
            <w:tcW w:w="1541" w:type="dxa"/>
            <w:gridSpan w:val="2"/>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Водеща</w:t>
            </w:r>
          </w:p>
        </w:tc>
        <w:tc>
          <w:tcPr>
            <w:tcW w:w="1577"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Партньор</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1.1.1. Обучение и заетост на безработни лица от групи в неравностойно положение на пазара на труда (чл. 31, ал. 1 от ЗНЗ)</w:t>
            </w:r>
          </w:p>
        </w:tc>
        <w:tc>
          <w:tcPr>
            <w:tcW w:w="155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10 028 796 лв.</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2024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Повишаване на пригодността за заетост на безработни лица в съответствие с потребностите на пазара на труда и изискванията на работодателите;</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Осигурена заетост на безработни лица съобразно придобитата квалификация</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6 041 безработни лица включени в обучения</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43 лица включени в субсидирана заетост</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6278 включени в обучения</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2436 лица, включени в заетост, в т.ч. 79 лица - в субсидирана заетост</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АЗ, Национално представителна организация на работодателите/ Национално представителна организация на работниците и служителите </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 ЦПО, работодатели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1.1.2. Насърчаване на работодателите да разкриват работни места за стажуване (чл. 46, ЗНЗ)</w:t>
            </w:r>
          </w:p>
        </w:tc>
        <w:tc>
          <w:tcPr>
            <w:tcW w:w="155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611 600 лв.</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2024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Разкрити работни места за стажуване</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Лица включени в заетост</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100 включени в заетост</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АЗ, работодатели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lang w:val="en-US"/>
              </w:rPr>
            </w:pPr>
            <w:r w:rsidRPr="002C6596">
              <w:rPr>
                <w:rFonts w:ascii="Times New Roman" w:hAnsi="Times New Roman" w:cs="Times New Roman"/>
              </w:rPr>
              <w:t>1.1.3. Насърчаване на работодателите да разкриват работни места за обучение чрез работа (дуална система на обучение</w:t>
            </w:r>
            <w:r w:rsidRPr="002C6596">
              <w:rPr>
                <w:rFonts w:ascii="Times New Roman" w:hAnsi="Times New Roman" w:cs="Times New Roman"/>
                <w:lang w:val="en-US"/>
              </w:rPr>
              <w:t xml:space="preserve"> </w:t>
            </w:r>
            <w:r w:rsidRPr="002C6596">
              <w:rPr>
                <w:rFonts w:ascii="Times New Roman" w:hAnsi="Times New Roman" w:cs="Times New Roman"/>
              </w:rPr>
              <w:t>- чл. 46а, ЗНЗ</w:t>
            </w:r>
            <w:r w:rsidRPr="002C6596">
              <w:rPr>
                <w:rFonts w:ascii="Times New Roman" w:hAnsi="Times New Roman" w:cs="Times New Roman"/>
                <w:lang w:val="en-US"/>
              </w:rPr>
              <w:t>)</w:t>
            </w:r>
          </w:p>
        </w:tc>
        <w:tc>
          <w:tcPr>
            <w:tcW w:w="1556" w:type="dxa"/>
          </w:tcPr>
          <w:p w:rsidR="00D53405" w:rsidRPr="002C6596" w:rsidRDefault="00D53405" w:rsidP="002C6596">
            <w:pPr>
              <w:spacing w:after="0" w:line="240" w:lineRule="auto"/>
              <w:ind w:right="-109"/>
              <w:rPr>
                <w:rFonts w:ascii="Times New Roman" w:hAnsi="Times New Roman" w:cs="Times New Roman"/>
              </w:rPr>
            </w:pPr>
            <w:r w:rsidRPr="002C6596">
              <w:rPr>
                <w:rFonts w:ascii="Times New Roman" w:hAnsi="Times New Roman" w:cs="Times New Roman"/>
              </w:rPr>
              <w:t>1 467 001 лв.</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2024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Разкрити работни места за обучение чрез работа (дуална система на обучение)</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274 лица включени в заетост</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316 включени в заетост, 216 включени в обучение</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АЗ, работодатели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1.1.4. Насърчаване на работодателите да разкриват работни места за чиракуване (чл. 55г, ЗНЗ)</w:t>
            </w:r>
          </w:p>
        </w:tc>
        <w:tc>
          <w:tcPr>
            <w:tcW w:w="155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779 900 лв.</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2024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Разкрити работни места за чиракуване </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лица включени в заетост</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100 включени в заетост</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АЗ, работодатели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1.1.5. Обучение на възрастни в ЦРЧРРИ</w:t>
            </w:r>
          </w:p>
        </w:tc>
        <w:tc>
          <w:tcPr>
            <w:tcW w:w="1556" w:type="dxa"/>
          </w:tcPr>
          <w:p w:rsidR="00D53405" w:rsidRPr="002C6596" w:rsidRDefault="00D53405" w:rsidP="002C6596">
            <w:pPr>
              <w:spacing w:after="0" w:line="240" w:lineRule="auto"/>
              <w:ind w:right="-109"/>
              <w:rPr>
                <w:rFonts w:ascii="Times New Roman" w:hAnsi="Times New Roman" w:cs="Times New Roman"/>
              </w:rPr>
            </w:pPr>
            <w:r w:rsidRPr="002C6596">
              <w:rPr>
                <w:rFonts w:ascii="Times New Roman" w:hAnsi="Times New Roman" w:cs="Times New Roman"/>
              </w:rPr>
              <w:t>4 002 438 лв.</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2024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Повишаване на пригодността за заетост на безработни лица чрез включване в обучение за придобиване на професионална квалификация и ключови компетентности.</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460 лица включени в обучения</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1 547 включени в обучения</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ЦРЧРРИ</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АЗ</w:t>
            </w:r>
          </w:p>
        </w:tc>
      </w:tr>
      <w:tr w:rsidR="00D53405" w:rsidRPr="001E3810" w:rsidTr="002C6596">
        <w:tc>
          <w:tcPr>
            <w:tcW w:w="2977" w:type="dxa"/>
          </w:tcPr>
          <w:p w:rsidR="00D53405" w:rsidRPr="002C6596" w:rsidRDefault="00D53405" w:rsidP="002C6596">
            <w:pPr>
              <w:spacing w:after="0" w:line="240" w:lineRule="auto"/>
              <w:jc w:val="both"/>
              <w:rPr>
                <w:rFonts w:ascii="Times New Roman" w:hAnsi="Times New Roman" w:cs="Times New Roman"/>
                <w:color w:val="000000"/>
              </w:rPr>
            </w:pPr>
            <w:r w:rsidRPr="002C6596">
              <w:rPr>
                <w:rFonts w:ascii="Times New Roman" w:hAnsi="Times New Roman" w:cs="Times New Roman"/>
                <w:color w:val="000000"/>
              </w:rPr>
              <w:t>1.1.6. Реализиране на проучване за идентифициране и картографиране на наличните умения и нагласите за развитие на заетите лица в секторите, засегнати от нисковъглеродния преход в областите Стара Загора, Кюстендил и Перник.</w:t>
            </w:r>
          </w:p>
          <w:p w:rsidR="00D53405" w:rsidRPr="002C6596" w:rsidRDefault="00D53405" w:rsidP="002C6596">
            <w:pPr>
              <w:spacing w:after="0" w:line="240" w:lineRule="auto"/>
              <w:jc w:val="both"/>
              <w:rPr>
                <w:rFonts w:ascii="Times New Roman" w:hAnsi="Times New Roman" w:cs="Times New Roman"/>
                <w:color w:val="000000"/>
              </w:rPr>
            </w:pPr>
            <w:r w:rsidRPr="002C6596">
              <w:rPr>
                <w:rFonts w:ascii="Times New Roman" w:hAnsi="Times New Roman" w:cs="Times New Roman"/>
                <w:color w:val="000000"/>
              </w:rPr>
              <w:t>Стартиране на изпълнението на дейностите по: усъвършенстване на методологията за прогнозиране и изготвяне на прогнози за развитието на пазара на труда и по изготвяне на оценки на нетния ефект от активната политика на пазара на труда, вкл. разширяване на обхвата на последващата оценка на активната политика на пазара на труда. (операция „Адресиране на предизвикателствата на пазара на труда“)</w:t>
            </w:r>
          </w:p>
        </w:tc>
        <w:tc>
          <w:tcPr>
            <w:tcW w:w="1556" w:type="dxa"/>
          </w:tcPr>
          <w:p w:rsidR="00D53405" w:rsidRPr="002C6596" w:rsidRDefault="00D53405" w:rsidP="002C6596">
            <w:pPr>
              <w:spacing w:after="0" w:line="240" w:lineRule="auto"/>
              <w:ind w:right="-109"/>
              <w:rPr>
                <w:rFonts w:ascii="Times New Roman" w:hAnsi="Times New Roman" w:cs="Times New Roman"/>
                <w:color w:val="000000"/>
              </w:rPr>
            </w:pPr>
            <w:r w:rsidRPr="002C6596">
              <w:rPr>
                <w:rFonts w:ascii="Times New Roman" w:hAnsi="Times New Roman" w:cs="Times New Roman"/>
                <w:color w:val="000000"/>
              </w:rPr>
              <w:t>1 350 000 лв.</w:t>
            </w:r>
          </w:p>
          <w:p w:rsidR="00D53405" w:rsidRPr="002C6596" w:rsidRDefault="00D53405" w:rsidP="002C6596">
            <w:pPr>
              <w:spacing w:after="0" w:line="240" w:lineRule="auto"/>
              <w:ind w:right="-109"/>
              <w:rPr>
                <w:rFonts w:ascii="Times New Roman" w:hAnsi="Times New Roman" w:cs="Times New Roman"/>
                <w:color w:val="000000"/>
              </w:rPr>
            </w:pPr>
            <w:r w:rsidRPr="002C6596">
              <w:rPr>
                <w:rFonts w:ascii="Times New Roman" w:hAnsi="Times New Roman" w:cs="Times New Roman"/>
                <w:color w:val="000000"/>
              </w:rPr>
              <w:t xml:space="preserve">(до април </w:t>
            </w:r>
          </w:p>
          <w:p w:rsidR="00D53405" w:rsidRPr="002C6596" w:rsidRDefault="00D53405" w:rsidP="002C6596">
            <w:pPr>
              <w:spacing w:after="0" w:line="240" w:lineRule="auto"/>
              <w:ind w:right="-109"/>
              <w:rPr>
                <w:rFonts w:ascii="Times New Roman" w:hAnsi="Times New Roman" w:cs="Times New Roman"/>
                <w:color w:val="000000"/>
                <w:lang w:val="en-US"/>
              </w:rPr>
            </w:pPr>
            <w:r w:rsidRPr="002C6596">
              <w:rPr>
                <w:rFonts w:ascii="Times New Roman" w:hAnsi="Times New Roman" w:cs="Times New Roman"/>
                <w:color w:val="000000"/>
              </w:rPr>
              <w:t>2025 г. – 1 800 000</w:t>
            </w:r>
            <w:r w:rsidRPr="002C6596">
              <w:rPr>
                <w:rFonts w:ascii="Times New Roman" w:hAnsi="Times New Roman" w:cs="Times New Roman"/>
                <w:color w:val="000000"/>
                <w:lang w:val="en-US"/>
              </w:rPr>
              <w:t xml:space="preserve"> </w:t>
            </w:r>
            <w:r w:rsidRPr="002C6596">
              <w:rPr>
                <w:rFonts w:ascii="Times New Roman" w:hAnsi="Times New Roman" w:cs="Times New Roman"/>
                <w:color w:val="000000"/>
              </w:rPr>
              <w:t>лв.)</w:t>
            </w:r>
            <w:r w:rsidRPr="002C6596">
              <w:rPr>
                <w:rFonts w:ascii="Times New Roman" w:hAnsi="Times New Roman" w:cs="Times New Roman"/>
                <w:color w:val="000000"/>
                <w:lang w:val="en-US"/>
              </w:rPr>
              <w:t xml:space="preserve">   (</w:t>
            </w:r>
            <w:r w:rsidRPr="002C6596">
              <w:rPr>
                <w:rFonts w:ascii="Times New Roman" w:hAnsi="Times New Roman" w:cs="Times New Roman"/>
                <w:color w:val="000000"/>
              </w:rPr>
              <w:t>П</w:t>
            </w:r>
            <w:r w:rsidRPr="002C6596">
              <w:rPr>
                <w:rFonts w:ascii="Times New Roman" w:hAnsi="Times New Roman" w:cs="Times New Roman"/>
                <w:color w:val="000000"/>
                <w:lang w:val="en-US"/>
              </w:rPr>
              <w:t xml:space="preserve"> </w:t>
            </w:r>
            <w:r w:rsidRPr="002C6596">
              <w:rPr>
                <w:rFonts w:ascii="Times New Roman" w:hAnsi="Times New Roman" w:cs="Times New Roman"/>
                <w:color w:val="000000"/>
              </w:rPr>
              <w:t xml:space="preserve">РЧР </w:t>
            </w:r>
            <w:r w:rsidRPr="002C6596">
              <w:rPr>
                <w:rFonts w:ascii="Times New Roman" w:hAnsi="Times New Roman" w:cs="Times New Roman"/>
                <w:color w:val="000000"/>
                <w:lang w:val="en-US"/>
              </w:rPr>
              <w:t xml:space="preserve">    </w:t>
            </w:r>
            <w:r w:rsidRPr="002C6596">
              <w:rPr>
                <w:rFonts w:ascii="Times New Roman" w:hAnsi="Times New Roman" w:cs="Times New Roman"/>
                <w:color w:val="000000"/>
              </w:rPr>
              <w:t>2021-2027</w:t>
            </w:r>
            <w:r w:rsidRPr="002C6596">
              <w:rPr>
                <w:rFonts w:ascii="Times New Roman" w:hAnsi="Times New Roman" w:cs="Times New Roman"/>
                <w:color w:val="000000"/>
                <w:lang w:val="en-US"/>
              </w:rPr>
              <w:t>)</w:t>
            </w:r>
          </w:p>
        </w:tc>
        <w:tc>
          <w:tcPr>
            <w:tcW w:w="1276" w:type="dxa"/>
          </w:tcPr>
          <w:p w:rsidR="00D53405" w:rsidRPr="002C6596" w:rsidRDefault="00D53405" w:rsidP="002C6596">
            <w:pPr>
              <w:spacing w:after="0" w:line="240" w:lineRule="auto"/>
              <w:ind w:right="-101"/>
              <w:rPr>
                <w:rFonts w:ascii="Times New Roman" w:hAnsi="Times New Roman" w:cs="Times New Roman"/>
                <w:color w:val="000000"/>
              </w:rPr>
            </w:pPr>
            <w:r w:rsidRPr="002C6596">
              <w:rPr>
                <w:rFonts w:ascii="Times New Roman" w:hAnsi="Times New Roman" w:cs="Times New Roman"/>
                <w:color w:val="000000"/>
              </w:rPr>
              <w:t xml:space="preserve">април </w:t>
            </w:r>
          </w:p>
          <w:p w:rsidR="00D53405" w:rsidRPr="002C6596" w:rsidRDefault="00D53405" w:rsidP="002C6596">
            <w:pPr>
              <w:spacing w:after="0" w:line="240" w:lineRule="auto"/>
              <w:ind w:right="-101"/>
              <w:rPr>
                <w:rFonts w:ascii="Times New Roman" w:hAnsi="Times New Roman" w:cs="Times New Roman"/>
                <w:color w:val="000000"/>
              </w:rPr>
            </w:pPr>
            <w:r w:rsidRPr="002C6596">
              <w:rPr>
                <w:rFonts w:ascii="Times New Roman" w:hAnsi="Times New Roman" w:cs="Times New Roman"/>
                <w:color w:val="000000"/>
              </w:rPr>
              <w:t>2025 г.</w:t>
            </w:r>
          </w:p>
        </w:tc>
        <w:tc>
          <w:tcPr>
            <w:tcW w:w="2879" w:type="dxa"/>
          </w:tcPr>
          <w:p w:rsidR="00D53405" w:rsidRPr="002C6596" w:rsidRDefault="00D53405" w:rsidP="002C6596">
            <w:pPr>
              <w:spacing w:after="0" w:line="240" w:lineRule="auto"/>
              <w:jc w:val="both"/>
              <w:rPr>
                <w:rFonts w:ascii="Times New Roman" w:hAnsi="Times New Roman" w:cs="Times New Roman"/>
                <w:color w:val="000000"/>
              </w:rPr>
            </w:pPr>
            <w:r w:rsidRPr="002C6596">
              <w:rPr>
                <w:rFonts w:ascii="Times New Roman" w:hAnsi="Times New Roman" w:cs="Times New Roman"/>
                <w:color w:val="000000"/>
              </w:rPr>
              <w:t>Идентифицирани и картографирани уменията и нагласите за развитие на заети лица в ТЕЦ и въглищни мини в областите Стара Загора, Кюстендил и Перник. Изготвен доклад, представящ резултатите от проучването.</w:t>
            </w:r>
          </w:p>
        </w:tc>
        <w:tc>
          <w:tcPr>
            <w:tcW w:w="1516" w:type="dxa"/>
          </w:tcPr>
          <w:p w:rsidR="00D53405" w:rsidRPr="002C6596" w:rsidRDefault="00D53405" w:rsidP="002C6596">
            <w:pPr>
              <w:spacing w:after="0" w:line="240" w:lineRule="auto"/>
              <w:rPr>
                <w:rFonts w:ascii="Times New Roman" w:hAnsi="Times New Roman" w:cs="Times New Roman"/>
                <w:color w:val="000000"/>
              </w:rPr>
            </w:pPr>
            <w:r w:rsidRPr="002C6596">
              <w:rPr>
                <w:rFonts w:ascii="Times New Roman" w:hAnsi="Times New Roman" w:cs="Times New Roman"/>
                <w:color w:val="000000"/>
              </w:rPr>
              <w:t>Изпълнението на операцията започва през 2024 г.</w:t>
            </w:r>
          </w:p>
        </w:tc>
        <w:tc>
          <w:tcPr>
            <w:tcW w:w="1702" w:type="dxa"/>
          </w:tcPr>
          <w:p w:rsidR="00D53405" w:rsidRPr="002C6596" w:rsidRDefault="00D53405" w:rsidP="002C6596">
            <w:pPr>
              <w:spacing w:after="0" w:line="240" w:lineRule="auto"/>
              <w:rPr>
                <w:rFonts w:ascii="Times New Roman" w:hAnsi="Times New Roman" w:cs="Times New Roman"/>
                <w:color w:val="000000"/>
              </w:rPr>
            </w:pPr>
            <w:r w:rsidRPr="002C6596">
              <w:rPr>
                <w:rFonts w:ascii="Times New Roman" w:hAnsi="Times New Roman" w:cs="Times New Roman"/>
                <w:color w:val="000000"/>
              </w:rPr>
              <w:t>15 100 анкетирани заети лица и изготвени 13 000 индивидуални профили на анкетираните лица</w:t>
            </w:r>
          </w:p>
        </w:tc>
        <w:tc>
          <w:tcPr>
            <w:tcW w:w="1541" w:type="dxa"/>
            <w:gridSpan w:val="2"/>
          </w:tcPr>
          <w:p w:rsidR="00D53405" w:rsidRPr="002C6596" w:rsidRDefault="00D53405" w:rsidP="002C6596">
            <w:pPr>
              <w:spacing w:after="0" w:line="240" w:lineRule="auto"/>
              <w:rPr>
                <w:rFonts w:ascii="Times New Roman" w:hAnsi="Times New Roman" w:cs="Times New Roman"/>
                <w:color w:val="000000"/>
              </w:rPr>
            </w:pPr>
            <w:r w:rsidRPr="002C6596">
              <w:rPr>
                <w:rFonts w:ascii="Times New Roman" w:hAnsi="Times New Roman" w:cs="Times New Roman"/>
                <w:color w:val="000000"/>
              </w:rPr>
              <w:t>МТСП</w:t>
            </w:r>
          </w:p>
        </w:tc>
        <w:tc>
          <w:tcPr>
            <w:tcW w:w="1577" w:type="dxa"/>
          </w:tcPr>
          <w:p w:rsidR="00D53405" w:rsidRPr="002C6596" w:rsidRDefault="00D53405" w:rsidP="002C6596">
            <w:pPr>
              <w:spacing w:after="0" w:line="240" w:lineRule="auto"/>
              <w:rPr>
                <w:rFonts w:ascii="Times New Roman" w:hAnsi="Times New Roman" w:cs="Times New Roman"/>
                <w:color w:val="000000"/>
              </w:rPr>
            </w:pPr>
            <w:r w:rsidRPr="002C6596">
              <w:rPr>
                <w:rFonts w:ascii="Times New Roman" w:hAnsi="Times New Roman" w:cs="Times New Roman"/>
                <w:color w:val="000000"/>
              </w:rPr>
              <w:t>КНСБ</w:t>
            </w:r>
          </w:p>
          <w:p w:rsidR="00D53405" w:rsidRPr="002C6596" w:rsidRDefault="00D53405" w:rsidP="002C6596">
            <w:pPr>
              <w:spacing w:after="0" w:line="240" w:lineRule="auto"/>
              <w:rPr>
                <w:rFonts w:ascii="Times New Roman" w:hAnsi="Times New Roman" w:cs="Times New Roman"/>
                <w:color w:val="000000"/>
              </w:rPr>
            </w:pPr>
            <w:r w:rsidRPr="002C6596">
              <w:rPr>
                <w:rFonts w:ascii="Times New Roman" w:hAnsi="Times New Roman" w:cs="Times New Roman"/>
                <w:color w:val="000000"/>
              </w:rPr>
              <w:t>КТ „Подкрепа“</w:t>
            </w:r>
          </w:p>
          <w:p w:rsidR="00D53405" w:rsidRPr="002C6596" w:rsidRDefault="00D53405" w:rsidP="002C6596">
            <w:pPr>
              <w:spacing w:after="0" w:line="240" w:lineRule="auto"/>
              <w:rPr>
                <w:rFonts w:ascii="Times New Roman" w:hAnsi="Times New Roman" w:cs="Times New Roman"/>
                <w:color w:val="000000"/>
              </w:rPr>
            </w:pPr>
            <w:r w:rsidRPr="002C6596">
              <w:rPr>
                <w:rFonts w:ascii="Times New Roman" w:hAnsi="Times New Roman" w:cs="Times New Roman"/>
                <w:color w:val="000000"/>
              </w:rPr>
              <w:t>НСИ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1.1.7. Обучение на безработни и заети лица за придобиване на дигитални умения („Компонент 2: Обучения за DI-GI умения и компетенции“ от Инвестиция C1.I3 - ПЗ „Предоставяне на обучения за дигитални умения и създаване на платформа за обучение на възрастни“,)</w:t>
            </w:r>
          </w:p>
        </w:tc>
        <w:tc>
          <w:tcPr>
            <w:tcW w:w="1556" w:type="dxa"/>
          </w:tcPr>
          <w:p w:rsidR="00D53405" w:rsidRPr="002C6596" w:rsidRDefault="00D53405" w:rsidP="002C6596">
            <w:pPr>
              <w:spacing w:after="0" w:line="240" w:lineRule="auto"/>
              <w:ind w:right="-105"/>
              <w:rPr>
                <w:rFonts w:ascii="Times New Roman" w:hAnsi="Times New Roman" w:cs="Times New Roman"/>
                <w:lang w:val="en-US"/>
              </w:rPr>
            </w:pPr>
            <w:r w:rsidRPr="002C6596">
              <w:rPr>
                <w:rFonts w:ascii="Times New Roman" w:hAnsi="Times New Roman" w:cs="Times New Roman"/>
              </w:rPr>
              <w:t>109 151 949</w:t>
            </w:r>
            <w:r w:rsidRPr="002C6596">
              <w:rPr>
                <w:rFonts w:ascii="Times New Roman" w:hAnsi="Times New Roman" w:cs="Times New Roman"/>
                <w:lang w:val="en-US"/>
              </w:rPr>
              <w:t xml:space="preserve"> </w:t>
            </w:r>
            <w:r w:rsidRPr="002C6596">
              <w:rPr>
                <w:rFonts w:ascii="Times New Roman" w:hAnsi="Times New Roman" w:cs="Times New Roman"/>
              </w:rPr>
              <w:t>лв.</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юни </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2026 г.</w:t>
            </w:r>
          </w:p>
        </w:tc>
        <w:tc>
          <w:tcPr>
            <w:tcW w:w="2879"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Повишаване на пригодността за заетост на безработни и заети лица чрез включване в обучение за придобиване на базово и/или средно равнище на дигитални умения</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лица включени в обучения</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200 000 безработни и заети лица, обучени и сертифицирани за дигитални умения</w:t>
            </w:r>
            <w:r w:rsidRPr="002C6596">
              <w:rPr>
                <w:rStyle w:val="FootnoteReference"/>
                <w:rFonts w:ascii="Times New Roman" w:hAnsi="Times New Roman"/>
              </w:rPr>
              <w:footnoteReference w:id="1"/>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АЗ</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ЦРЧРРИ, обучаващи институции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1.1.8. Предоставяне на обучения за придобиване или повишаване на професионална квалификация или за придобиване на ключови компетентности ( Компонент 2 „Обучения“ по процедура „Започвам работа“) .</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Насочване към възможности за включване в заетост, вкл. по линия на Компонент 3 „Заетост“ на процедурата </w:t>
            </w:r>
          </w:p>
        </w:tc>
        <w:tc>
          <w:tcPr>
            <w:tcW w:w="1556" w:type="dxa"/>
          </w:tcPr>
          <w:p w:rsidR="00D53405" w:rsidRPr="002C6596" w:rsidRDefault="00D53405" w:rsidP="002C6596">
            <w:pPr>
              <w:spacing w:after="0" w:line="240" w:lineRule="auto"/>
              <w:ind w:right="-105"/>
              <w:rPr>
                <w:rFonts w:ascii="Times New Roman" w:hAnsi="Times New Roman" w:cs="Times New Roman"/>
              </w:rPr>
            </w:pPr>
            <w:r w:rsidRPr="002C6596">
              <w:rPr>
                <w:rFonts w:ascii="Times New Roman" w:hAnsi="Times New Roman" w:cs="Times New Roman"/>
              </w:rPr>
              <w:t>14 000 000 лв.  П РЧР 2021-2027</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2026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Придобита или повишена професионална квалификация или придобити ключови компетентности на включените в обучение безработни и неактивни лица. </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включени в обучения</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4 660 включени в обучения</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 и АЗ</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АЗ/обучаващи институции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1.1.9. Предоставяне на обучения с ваучери за общи дигитални умения на базово и/или средно равнище за неактивни лица и обучения за напреднало и високоспециализирано равнище за безработни лица (Процедура „Дигитални умения“). </w:t>
            </w:r>
          </w:p>
        </w:tc>
        <w:tc>
          <w:tcPr>
            <w:tcW w:w="1556" w:type="dxa"/>
          </w:tcPr>
          <w:p w:rsidR="00D53405" w:rsidRPr="002C6596" w:rsidRDefault="00D53405" w:rsidP="002C6596">
            <w:pPr>
              <w:spacing w:after="0" w:line="240" w:lineRule="auto"/>
              <w:ind w:right="-105"/>
              <w:rPr>
                <w:rFonts w:ascii="Times New Roman" w:hAnsi="Times New Roman" w:cs="Times New Roman"/>
              </w:rPr>
            </w:pPr>
            <w:r w:rsidRPr="002C6596">
              <w:rPr>
                <w:rFonts w:ascii="Times New Roman" w:hAnsi="Times New Roman" w:cs="Times New Roman"/>
              </w:rPr>
              <w:t>13 333 333 лв.  П РЧР 2021-2027</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2026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Придобити или надградени общи дигитални умения за базово и/или средно равнище от неактивни лица. Придобити или надградени дигитални умения за напреднало и високоспециализирано равнище от безработни лица чрез обучение с ваучери.</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включени в обучения</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26 666 включени в обучения</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 и АЗ</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АЗ/обучаващи институции</w:t>
            </w:r>
          </w:p>
        </w:tc>
      </w:tr>
      <w:tr w:rsidR="00D53405" w:rsidRPr="001E3810" w:rsidTr="002C6596">
        <w:tc>
          <w:tcPr>
            <w:tcW w:w="2977"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 xml:space="preserve">1.1.10. Предоставяне на обучения за придобиване или повишаване на професионалната квалификация или за придобиване на умения по ключови компетентности (Проект „Квалификация, умения и кариерно развитие на заети лица“). </w:t>
            </w:r>
          </w:p>
        </w:tc>
        <w:tc>
          <w:tcPr>
            <w:tcW w:w="1556" w:type="dxa"/>
          </w:tcPr>
          <w:p w:rsidR="00D53405" w:rsidRPr="002C6596" w:rsidRDefault="00D53405" w:rsidP="002C6596">
            <w:pPr>
              <w:spacing w:after="0" w:line="240" w:lineRule="auto"/>
              <w:ind w:right="-105"/>
              <w:rPr>
                <w:rFonts w:ascii="Times New Roman" w:hAnsi="Times New Roman" w:cs="Times New Roman"/>
              </w:rPr>
            </w:pPr>
            <w:r w:rsidRPr="002C6596">
              <w:rPr>
                <w:rFonts w:ascii="Times New Roman" w:hAnsi="Times New Roman" w:cs="Times New Roman"/>
              </w:rPr>
              <w:t>25 000 000 лв. П РЧР 2021-2027</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2025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Придобита или повишена професионална квалификация или придобити ключови компетентности от заети лица.</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включени в обучения</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6 950 включени в обучения</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 и АЗ</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АЗ/обучаващи институции</w:t>
            </w:r>
          </w:p>
        </w:tc>
      </w:tr>
      <w:tr w:rsidR="00D53405" w:rsidRPr="001E3810" w:rsidTr="002C6596">
        <w:tc>
          <w:tcPr>
            <w:tcW w:w="2977"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 xml:space="preserve">1.1.11. Провеждане на специфични обучения и обучения за придобиване или повишаване на професионална квалификация или за придобиване на ключови компетентности за заети лица (Процедура „Нови умения“) </w:t>
            </w:r>
          </w:p>
        </w:tc>
        <w:tc>
          <w:tcPr>
            <w:tcW w:w="155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10 000 000 лв. П РЧР 2021-2027</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2026 г.</w:t>
            </w:r>
          </w:p>
        </w:tc>
        <w:tc>
          <w:tcPr>
            <w:tcW w:w="2879"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Придобита или надградена професионална квалификация, придобити специфични дигитални умения и надградени бизнес умения от заети, вкл. самостоятелно заети лица.</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лица включени в обучения</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4 000 лица включени в обучения</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Работодатели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1.1.12. Разработване и прилагане на „зелени“ модели на организация на труд. Осигуряване на превенция и профилактика на „бърнаут“ на работното място. Осигуряване на лични и колективни предпазни средства.(Процедура „Адаптирана работна среда“)</w:t>
            </w:r>
          </w:p>
        </w:tc>
        <w:tc>
          <w:tcPr>
            <w:tcW w:w="155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20 000 000 лв. П РЧР 2021-2027</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2027 г.</w:t>
            </w:r>
          </w:p>
        </w:tc>
        <w:tc>
          <w:tcPr>
            <w:tcW w:w="2879"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Разработени и приложени „зелени“ модели на организация на труд. Обучени заети, вкл. самонаети, за внедряване на „зелени“ модели на организация на труд. Осигурени лични и колективни предпазни средства във връзка с подобряване на условията на труд. Осигурени социални придобивки за работещите лица</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лица включени в обучения</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18 000 заети лица с повишено качество на работната сила</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Работодатели</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1.1.13. Предоставяне на съветнически услуги на заетите в аграрния сектор:</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специализирани консултации в областта на растениевъдство, животновъдство и аграрна икономика;</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 съветнически услуги и консултации относно задължителните европейски и национални стандарти и изисквания, на които трябва да отговаря производството; </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съветнически услуги и консултации относно национални и международни източници за финансиране на дейности, свързани със създаване и модернизиране на земеделските стопанства.</w:t>
            </w:r>
          </w:p>
        </w:tc>
        <w:tc>
          <w:tcPr>
            <w:tcW w:w="155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3 000 000 лв. (бюджет по Програмата за развитие на селските райони 2014-2020 г. и национален бюджет)</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2024 г.</w:t>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Подобрени знания и компетентности на заетите в земеделието за създаване и развитие на конкурентни и технологично обновени стопанства </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Брой консултирани лица – 15 240 </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Брой предоставени консултаци–</w:t>
            </w:r>
            <w:r w:rsidRPr="002C6596">
              <w:rPr>
                <w:rFonts w:ascii="Times New Roman" w:hAnsi="Times New Roman" w:cs="Times New Roman"/>
                <w:lang w:val="en-US"/>
              </w:rPr>
              <w:t xml:space="preserve"> </w:t>
            </w:r>
            <w:r w:rsidRPr="002C6596">
              <w:rPr>
                <w:rFonts w:ascii="Times New Roman" w:hAnsi="Times New Roman" w:cs="Times New Roman"/>
              </w:rPr>
              <w:t xml:space="preserve">94 073 </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Брой консултирани лица - 16 000 </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Брой предоставени консултации – 80 000 </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Национална служба за съвети в земеделието</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МЗХ</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Аграрни университети, Селскостопанска академия</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1.1.14. Повишаване пригодността за заетост на работната сила в съответствие с потребностите на пазара на труда и изискванията на работодателите. </w:t>
            </w:r>
          </w:p>
        </w:tc>
        <w:tc>
          <w:tcPr>
            <w:tcW w:w="1556" w:type="dxa"/>
          </w:tcPr>
          <w:p w:rsidR="00D53405" w:rsidRPr="002C6596" w:rsidRDefault="00D53405" w:rsidP="002C6596">
            <w:pPr>
              <w:spacing w:after="0" w:line="240" w:lineRule="auto"/>
              <w:ind w:right="-109"/>
              <w:rPr>
                <w:rFonts w:ascii="Times New Roman" w:hAnsi="Times New Roman" w:cs="Times New Roman"/>
              </w:rPr>
            </w:pPr>
            <w:r w:rsidRPr="002C6596">
              <w:rPr>
                <w:rFonts w:ascii="Times New Roman" w:hAnsi="Times New Roman" w:cs="Times New Roman"/>
                <w:lang w:val="en-US"/>
              </w:rPr>
              <w:t xml:space="preserve">60 000 000 </w:t>
            </w:r>
            <w:r w:rsidRPr="002C6596">
              <w:rPr>
                <w:rFonts w:ascii="Times New Roman" w:hAnsi="Times New Roman" w:cs="Times New Roman"/>
              </w:rPr>
              <w:t xml:space="preserve">лв. </w:t>
            </w:r>
            <w:r w:rsidRPr="002C6596">
              <w:rPr>
                <w:rFonts w:ascii="Times New Roman" w:hAnsi="Times New Roman" w:cs="Times New Roman"/>
                <w:lang w:val="en-US"/>
              </w:rPr>
              <w:t>(</w:t>
            </w:r>
            <w:r w:rsidRPr="002C6596">
              <w:rPr>
                <w:rFonts w:ascii="Times New Roman" w:hAnsi="Times New Roman" w:cs="Times New Roman"/>
              </w:rPr>
              <w:t>Програма „Развитие на регионите“ 2021 – 2027 г.)</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2025 г.</w:t>
            </w:r>
            <w:r w:rsidRPr="002C6596">
              <w:rPr>
                <w:rStyle w:val="FootnoteReference"/>
                <w:rFonts w:ascii="Times New Roman" w:hAnsi="Times New Roman"/>
              </w:rPr>
              <w:footnoteReference w:id="2"/>
            </w:r>
          </w:p>
        </w:tc>
        <w:tc>
          <w:tcPr>
            <w:tcW w:w="287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Обучени лица в съответствие с потребностите на пазара на труда, както и с изискванията на работодателите.</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Процедурите ще стартират през 2024 г.</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 Заети, включително самостоятелно заети – 1 027 лица.</w:t>
            </w:r>
          </w:p>
          <w:p w:rsidR="00D53405" w:rsidRPr="002C6596" w:rsidRDefault="00D53405" w:rsidP="002C6596">
            <w:pPr>
              <w:spacing w:after="0" w:line="240" w:lineRule="auto"/>
              <w:ind w:left="38" w:hanging="38"/>
              <w:rPr>
                <w:rFonts w:ascii="Times New Roman" w:hAnsi="Times New Roman" w:cs="Times New Roman"/>
              </w:rPr>
            </w:pPr>
            <w:r w:rsidRPr="002C6596">
              <w:rPr>
                <w:rFonts w:ascii="Times New Roman" w:hAnsi="Times New Roman" w:cs="Times New Roman"/>
              </w:rPr>
              <w:t xml:space="preserve">2. Участници, които при напускане на операцията получават квалификация- 2 569 лица. </w:t>
            </w:r>
          </w:p>
          <w:p w:rsidR="00D53405" w:rsidRPr="002C6596" w:rsidRDefault="00D53405" w:rsidP="002C6596">
            <w:pPr>
              <w:spacing w:after="0" w:line="240" w:lineRule="auto"/>
              <w:ind w:left="38" w:hanging="38"/>
              <w:rPr>
                <w:rFonts w:ascii="Times New Roman" w:hAnsi="Times New Roman" w:cs="Times New Roman"/>
              </w:rPr>
            </w:pPr>
            <w:r w:rsidRPr="002C6596">
              <w:rPr>
                <w:rFonts w:ascii="Times New Roman" w:hAnsi="Times New Roman" w:cs="Times New Roman"/>
              </w:rPr>
              <w:t>3. Участници, които при напускане на операцията имат работа – 1 027 лица.</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МРРБ като УО на ПРР</w:t>
            </w:r>
          </w:p>
        </w:tc>
        <w:tc>
          <w:tcPr>
            <w:tcW w:w="15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Работодателски и синдикални организации, работодатели, АЗ</w:t>
            </w:r>
          </w:p>
        </w:tc>
      </w:tr>
      <w:tr w:rsidR="00D53405" w:rsidRPr="001E3810" w:rsidTr="002C6596">
        <w:tc>
          <w:tcPr>
            <w:tcW w:w="2977"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1.1.15. Провеждане на проучване за установяване размера на разходите за валидиране на професионални знания, умения и компетентности</w:t>
            </w:r>
          </w:p>
        </w:tc>
        <w:tc>
          <w:tcPr>
            <w:tcW w:w="1556" w:type="dxa"/>
          </w:tcPr>
          <w:p w:rsidR="00D53405" w:rsidRPr="002C6596" w:rsidDel="005F5CB5" w:rsidRDefault="00D53405" w:rsidP="002C6596">
            <w:pPr>
              <w:spacing w:after="0" w:line="240" w:lineRule="auto"/>
              <w:ind w:right="-102"/>
              <w:rPr>
                <w:rFonts w:ascii="Times New Roman" w:hAnsi="Times New Roman" w:cs="Times New Roman"/>
              </w:rPr>
            </w:pPr>
            <w:r w:rsidRPr="002C6596">
              <w:rPr>
                <w:rFonts w:ascii="Times New Roman" w:hAnsi="Times New Roman" w:cs="Times New Roman"/>
              </w:rPr>
              <w:t xml:space="preserve">36 000 лв. </w:t>
            </w:r>
          </w:p>
        </w:tc>
        <w:tc>
          <w:tcPr>
            <w:tcW w:w="127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2024 г.</w:t>
            </w:r>
          </w:p>
        </w:tc>
        <w:tc>
          <w:tcPr>
            <w:tcW w:w="2879" w:type="dxa"/>
          </w:tcPr>
          <w:p w:rsidR="00D53405" w:rsidRPr="002C6596" w:rsidDel="00C42E4D" w:rsidRDefault="00D53405" w:rsidP="002C6596">
            <w:pPr>
              <w:spacing w:after="0" w:line="240" w:lineRule="auto"/>
              <w:rPr>
                <w:rFonts w:ascii="Times New Roman" w:hAnsi="Times New Roman" w:cs="Times New Roman"/>
                <w:lang w:val="en-US"/>
              </w:rPr>
            </w:pPr>
            <w:r w:rsidRPr="002C6596">
              <w:rPr>
                <w:rFonts w:ascii="Times New Roman" w:hAnsi="Times New Roman" w:cs="Times New Roman"/>
              </w:rPr>
              <w:t>Проведено проучване и изготвен доклад с резултатите от проучването, съдържащ информация за размерите на разходите за различните етапи на процеса на валидиране на професионални, знания, умения и компетентности</w:t>
            </w:r>
            <w:r w:rsidRPr="002C6596">
              <w:rPr>
                <w:rFonts w:ascii="Times New Roman" w:hAnsi="Times New Roman" w:cs="Times New Roman"/>
                <w:lang w:val="en-US"/>
              </w:rPr>
              <w:t>.</w:t>
            </w:r>
          </w:p>
        </w:tc>
        <w:tc>
          <w:tcPr>
            <w:tcW w:w="151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Проучването ще се проведе през 2024 г.</w:t>
            </w:r>
          </w:p>
        </w:tc>
        <w:tc>
          <w:tcPr>
            <w:tcW w:w="1702"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 изготвен доклад</w:t>
            </w:r>
          </w:p>
        </w:tc>
        <w:tc>
          <w:tcPr>
            <w:tcW w:w="1541"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МТСП</w:t>
            </w:r>
          </w:p>
        </w:tc>
        <w:tc>
          <w:tcPr>
            <w:tcW w:w="1577" w:type="dxa"/>
          </w:tcPr>
          <w:p w:rsidR="00D53405" w:rsidRPr="002C6596" w:rsidRDefault="00D53405" w:rsidP="002C6596">
            <w:pPr>
              <w:spacing w:after="0" w:line="240" w:lineRule="auto"/>
              <w:rPr>
                <w:rFonts w:ascii="Times New Roman" w:hAnsi="Times New Roman" w:cs="Times New Roman"/>
              </w:rPr>
            </w:pPr>
          </w:p>
        </w:tc>
      </w:tr>
    </w:tbl>
    <w:p w:rsidR="00D53405" w:rsidRPr="001E3810" w:rsidRDefault="00D53405" w:rsidP="00242D52">
      <w:pPr>
        <w:spacing w:after="0" w:line="240" w:lineRule="auto"/>
        <w:rPr>
          <w:rFonts w:ascii="Times New Roman" w:hAnsi="Times New Roman" w:cs="Times New Roman"/>
          <w:b/>
          <w:sz w:val="24"/>
          <w:szCs w:val="24"/>
        </w:rPr>
      </w:pPr>
    </w:p>
    <w:p w:rsidR="00D53405" w:rsidRPr="001E3810" w:rsidRDefault="00D53405" w:rsidP="005630AF">
      <w:p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Стратегическа цел 2.: Повишаване на заетостта и намаляване на безработицата сред безработните в неравностойно положение на пазара на труда</w:t>
      </w:r>
    </w:p>
    <w:p w:rsidR="00D53405" w:rsidRPr="001E3810" w:rsidRDefault="00D53405" w:rsidP="005630AF">
      <w:pPr>
        <w:spacing w:after="0" w:line="240" w:lineRule="auto"/>
        <w:jc w:val="both"/>
        <w:rPr>
          <w:rFonts w:ascii="Times New Roman" w:hAnsi="Times New Roman" w:cs="Times New Roman"/>
          <w:sz w:val="24"/>
          <w:szCs w:val="24"/>
        </w:rPr>
      </w:pPr>
      <w:r w:rsidRPr="001E3810">
        <w:rPr>
          <w:rFonts w:ascii="Times New Roman" w:hAnsi="Times New Roman" w:cs="Times New Roman"/>
          <w:b/>
          <w:sz w:val="24"/>
          <w:szCs w:val="24"/>
        </w:rPr>
        <w:t>Насърчаването на заетостта, вкл. на безработни лица в неравностойно положение на пазара на труда</w:t>
      </w:r>
      <w:r w:rsidRPr="001E3810">
        <w:rPr>
          <w:rFonts w:ascii="Times New Roman" w:hAnsi="Times New Roman" w:cs="Times New Roman"/>
          <w:sz w:val="24"/>
          <w:szCs w:val="24"/>
        </w:rPr>
        <w:t xml:space="preserve"> има важна роля за намаляване на безработицата сред тези лица и подобряване на възможностите им за заетост. Съществен принос ще имат услугите насочени към нуждите на целевите групи за оказване на индивидуализирана и интегрирана подкрепа. През 2024 г. за интегрирането в заетост на групите в неравностойно положение на пазара на труда ще се изпълняват програми и мерки за заетост и обучение, финансирани със средства от държавния бюджет и Програма „Развитите на човешките ресурси“ (ПРЧР) 2021-2027 г. Ще продължи да се насърчава заетостта в частния сектор, чрез реализацията на насърчителни мерки по Закона за насърчаване на заетостта (ЗНЗ) за наемане на безработни лица от групите в неравностойно положение на пазара на труда, в т.ч. безработни лица с основно или по-ниско образование, безработни лица без професионална квалификация, безработни лица с трайни увреждания, продължително безработни, младежи до 29 г. (вкл.), безработни над 55-годишна възраст и др. От началото на 2024 г. ще се прилага променената мярка в ЗНЗ за включване в заетост на лица от различни групи в неравностойно положение  на пазара на труда. Работодателите, наели лица по мярката, ще имат възможност да получават и средства за ментор– работник или служител от същото предприятие, който да подпомага наетото лице в адаптацията към работното място и трудовия процес. </w:t>
      </w:r>
    </w:p>
    <w:p w:rsidR="00D53405" w:rsidRPr="001E3810" w:rsidRDefault="00D53405" w:rsidP="005630AF">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 xml:space="preserve">Във фокуса на политиката по заетостта през 2024 г. ще бъде и </w:t>
      </w:r>
      <w:r w:rsidRPr="001E3810">
        <w:rPr>
          <w:rFonts w:ascii="Times New Roman" w:hAnsi="Times New Roman" w:cs="Times New Roman"/>
          <w:b/>
          <w:sz w:val="24"/>
          <w:szCs w:val="24"/>
        </w:rPr>
        <w:t>повишаването на ефективността на посредническите услуги за заетост</w:t>
      </w:r>
      <w:r w:rsidRPr="001E3810">
        <w:rPr>
          <w:rFonts w:ascii="Times New Roman" w:hAnsi="Times New Roman" w:cs="Times New Roman"/>
          <w:sz w:val="24"/>
          <w:szCs w:val="24"/>
        </w:rPr>
        <w:t xml:space="preserve">. Ще се разширява кръгът на услугите, създадени на базата на провежданите краткосрочни и дългосрочни прогнози относно търсените умения. Това ще доведе до развитие на системите за кариерно ориентиране, въвеждане на иновативни, нови подходи и методи за професионално ориентиране, трудово консултиране, профилиране, активиране на потенциала на работната сила, персонализирани услуги, съобразени с особеностите на регионите. Ще се прилага промяната в ЗНЗ за предоставяне на услуги за заетост, вкл. безработните лица ще бъдат насочвани към субсидирана заетост, обучение и процедури за валидиране не само в бюрата по труда по тяхната регистрация, а във всяко бюро по труда, с което ще се увеличат възможностите за подобряване на съответствието между търсена и предлагана работна сила. От 2024 г. безработните, включени в субсидирана заетост ще продължат да бъдат регистрирани в бюрата по труда като заети. По този начин те ще имат </w:t>
      </w:r>
      <w:r w:rsidRPr="001E3810">
        <w:rPr>
          <w:rFonts w:ascii="Times New Roman" w:hAnsi="Times New Roman" w:cs="Times New Roman"/>
          <w:bCs/>
          <w:sz w:val="24"/>
          <w:szCs w:val="24"/>
        </w:rPr>
        <w:t>възможност да ползват услугите по заетостта с цел включване в устойчива заетост на първичния пазар на труда</w:t>
      </w:r>
      <w:r w:rsidRPr="001E3810">
        <w:rPr>
          <w:rFonts w:ascii="Times New Roman" w:hAnsi="Times New Roman" w:cs="Times New Roman"/>
          <w:sz w:val="24"/>
          <w:szCs w:val="24"/>
        </w:rPr>
        <w:t xml:space="preserve">. За подобряване на работните процеси и модернизиране на услугите на Агенцията по заетостта (АЗ) през 2024 г. ще се изпълнява и съвместен проект между АЗ, Организацията за икономическо сътрудничество и развитие и Европейската комисия. За повишаване на качеството и ефективността ще бъде създадена методологична рамка на системата за управление на качеството и изградена система за оценка на ефективността и ефикасността на предлаганите от Агенцията по заетостта услуги, базирана на данни от свързани административни регистри. Ще продължи насърчаването за използване на наличните електронни услуги, както и на нови такива, като въвеждане на дигитален план за действие с възможности за пряко информиране от безработното лице; планиране и наблюдаване от трудовите посредници на изпълнението на препоръките в плана за действие дистанционно, чрез всички канали за комуникация и дистанционно насочване на подходящите кандидати за интервю с работодател. </w:t>
      </w:r>
    </w:p>
    <w:p w:rsidR="00D53405" w:rsidRPr="001E3810" w:rsidRDefault="00D53405" w:rsidP="005630AF">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 xml:space="preserve">В отговор на негативните демографски процеси и недостига от работна сила, през 2024 г. </w:t>
      </w:r>
      <w:r w:rsidRPr="001E3810">
        <w:rPr>
          <w:rFonts w:ascii="Times New Roman" w:hAnsi="Times New Roman" w:cs="Times New Roman"/>
          <w:b/>
          <w:sz w:val="24"/>
          <w:szCs w:val="24"/>
        </w:rPr>
        <w:t xml:space="preserve">ще продължат да се изпълняват дейностите за повишаване предлагането на работна сила чрез насърчаване икономическата активност. </w:t>
      </w:r>
      <w:r w:rsidRPr="001E3810">
        <w:rPr>
          <w:rFonts w:ascii="Times New Roman" w:hAnsi="Times New Roman" w:cs="Times New Roman"/>
          <w:sz w:val="24"/>
          <w:szCs w:val="24"/>
        </w:rPr>
        <w:t>Ще се прилагат разпоредбите от ЗНЗ за активиране на икономически неактивни лица, вкл. на младежите, които не са заети и не участват в образование и обучение. Ще продължат да се прилагат всички услуги за активиране и включване на пазара на труда на икономически неактивни лица, в т. ч. и Националната</w:t>
      </w:r>
      <w:r w:rsidRPr="001E3810">
        <w:rPr>
          <w:rFonts w:ascii="Times New Roman" w:hAnsi="Times New Roman" w:cs="Times New Roman"/>
          <w:b/>
          <w:sz w:val="24"/>
          <w:szCs w:val="24"/>
        </w:rPr>
        <w:t xml:space="preserve"> </w:t>
      </w:r>
      <w:r w:rsidRPr="001E3810">
        <w:rPr>
          <w:rFonts w:ascii="Times New Roman" w:hAnsi="Times New Roman" w:cs="Times New Roman"/>
          <w:sz w:val="24"/>
          <w:szCs w:val="24"/>
        </w:rPr>
        <w:t>програма „Активиране на неактивни лица“. За идентифициране и достигане до неактивните лица и мотивиране за активното им поведение на пазара на труда, Агенцията по заетостта ще продължи да реализира дейности на местно ниво, като: изнесени услуги и мобилни бюра по труда за достигане до всички търсещи работа от малките населени места; информационни кампании и др., включително в социалните мрежи, чрез които ще се представят възможностите, от които неактивните лица могат да се възползват, за да бъдат активни по отношение на реализацията си.</w:t>
      </w:r>
    </w:p>
    <w:p w:rsidR="00D53405" w:rsidRPr="001E3810" w:rsidRDefault="00D53405" w:rsidP="005630AF">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През 2024 г. ще продължи изпълнението на Компонент 1 „Активиране“ от процедура „Започвам работа“, финансирана по ПРЧР 2021-2027 г., чиято основна цел е да се предостави цялостен пакет от мерки, свързани с интегрирането на пазара на труда на неактивни лица на възраст 16-65 години с фокус върху лицата в неравностойно положение на пазара на труда. На неактивните лица ще се осигурява подкрепа чрез прилагане на иновативни подходи и дейности за идентифициране, активиране, подобряване на пригодността за заетост, формиране на меки умения, подпомагащи процеса на търсене на работа и адаптацията в работна среда и уменията за изграждане на личен проект. Ще се разшири обхвата на клубовете за активиране, които ще са разположени извън териториалните поделения на Агенцията по заетостта и в които неактивните лица ще имат възможност да се запознаят с пълния набор от услуги, предлагани от Агенцията, като се увеличи броят им. Ще продължи провеждането на Ателиета за търсене на работа, чрез които ще се предложи възможност на неактивните лица, да подобрят своите уменията за търсене на работа и успешно представяне пред работодатели. Организиране на трудови борси, които ще осигурят пряк контакт между лицата и работодателите.</w:t>
      </w:r>
    </w:p>
    <w:p w:rsidR="00D53405" w:rsidRPr="001E3810" w:rsidRDefault="00D53405" w:rsidP="005630AF">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Освен предоставянето на услуги за безработни лица, все повече фокусът ще се насочва върху превенцията на безработицата и запазване на работните места при кризи. Под въздействие на технологичните промени заетите трябва да адаптират квалификацията си в среда, характеризираща се с все по-чести преходи и променящо се съдържание на работата, за които пък се изискват определени умения и квалификация.</w:t>
      </w:r>
    </w:p>
    <w:p w:rsidR="00D53405" w:rsidRPr="001E3810" w:rsidRDefault="00D53405" w:rsidP="005630AF">
      <w:pPr>
        <w:spacing w:after="0" w:line="240" w:lineRule="auto"/>
        <w:jc w:val="both"/>
        <w:rPr>
          <w:rFonts w:ascii="Times New Roman" w:hAnsi="Times New Roman" w:cs="Times New Roman"/>
          <w:b/>
          <w:sz w:val="24"/>
          <w:szCs w:val="24"/>
        </w:rPr>
      </w:pPr>
    </w:p>
    <w:p w:rsidR="00D53405" w:rsidRPr="001E3810" w:rsidRDefault="00D53405" w:rsidP="005630AF">
      <w:p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Оперативна цел 2.1.: Насърчаване на заетостта и създаване на възможности за интеграция на групите в неравностойно положение на пазара на труда</w:t>
      </w:r>
    </w:p>
    <w:p w:rsidR="00D53405" w:rsidRPr="001E3810" w:rsidRDefault="00D53405" w:rsidP="005630AF">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 xml:space="preserve">Стратегическата цел 2 и оперативната цел 2.1. са в съответствие с националните цели (количествени) за увеличаване на равнището на заетост и намаляване на равнището на безработицата, заложени в Стратегията по заетостта на Република България 2021-2030 г. В подкрепа на интеграцията на пазара на труда на групите в неравностойно положение на пазара на труда през 2024 г. ще продължат да се изпълняват програмите за заетост и обучение на безработните в неравностойно положение на пазара на труда, както и насърчителните мерки от ЗНЗ. В допълнение осигуряването на субсидирана заетост в икономически по-слабо развитите региони допринася и за намаляването на регионалните различия по отношение на заетостта и безработицата. Дейностите по насърчаване на заетостта за безработните в неравностойно положение на пазара на труда, финансирани със средства от държавния бюджет за активна политика на пазара на труда ще бъдат подкрепени и с изпълнението на проекти, финансирани по ПРЧР 2021-2027 г. </w:t>
      </w: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Pr="001E3810" w:rsidRDefault="00D53405" w:rsidP="005630AF">
      <w:pPr>
        <w:spacing w:after="0" w:line="240" w:lineRule="auto"/>
        <w:jc w:val="both"/>
        <w:rPr>
          <w:rFonts w:ascii="Times New Roman" w:hAnsi="Times New Roman" w:cs="Times New Roman"/>
          <w:sz w:val="24"/>
          <w:szCs w:val="24"/>
        </w:rPr>
      </w:pPr>
    </w:p>
    <w:tbl>
      <w:tblPr>
        <w:tblW w:w="1488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07"/>
        <w:gridCol w:w="1553"/>
        <w:gridCol w:w="1836"/>
        <w:gridCol w:w="1976"/>
        <w:gridCol w:w="283"/>
        <w:gridCol w:w="1698"/>
        <w:gridCol w:w="1271"/>
        <w:gridCol w:w="990"/>
        <w:gridCol w:w="2118"/>
        <w:gridCol w:w="53"/>
      </w:tblGrid>
      <w:tr w:rsidR="00D53405" w:rsidRPr="001E3810" w:rsidTr="002C6596">
        <w:trPr>
          <w:gridAfter w:val="1"/>
          <w:wAfter w:w="53" w:type="dxa"/>
          <w:trHeight w:val="671"/>
          <w:tblHeader/>
        </w:trPr>
        <w:tc>
          <w:tcPr>
            <w:tcW w:w="3120"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Дейности</w:t>
            </w:r>
          </w:p>
        </w:tc>
        <w:tc>
          <w:tcPr>
            <w:tcW w:w="1559"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Бюджет за 2024 г.</w:t>
            </w:r>
          </w:p>
        </w:tc>
        <w:tc>
          <w:tcPr>
            <w:tcW w:w="1843"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Срок за реализация (месец и година)</w:t>
            </w:r>
          </w:p>
        </w:tc>
        <w:tc>
          <w:tcPr>
            <w:tcW w:w="2268" w:type="dxa"/>
            <w:gridSpan w:val="2"/>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Очаквани резултати за 2024 г.</w:t>
            </w:r>
          </w:p>
        </w:tc>
        <w:tc>
          <w:tcPr>
            <w:tcW w:w="2977" w:type="dxa"/>
            <w:gridSpan w:val="2"/>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Индикатори за изпълнение</w:t>
            </w:r>
          </w:p>
        </w:tc>
        <w:tc>
          <w:tcPr>
            <w:tcW w:w="3118" w:type="dxa"/>
            <w:gridSpan w:val="2"/>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Отговорни институции</w:t>
            </w:r>
          </w:p>
        </w:tc>
      </w:tr>
      <w:tr w:rsidR="00D53405" w:rsidRPr="001E3810" w:rsidTr="002C6596">
        <w:trPr>
          <w:gridAfter w:val="1"/>
          <w:wAfter w:w="53" w:type="dxa"/>
          <w:trHeight w:val="613"/>
          <w:tblHeader/>
        </w:trPr>
        <w:tc>
          <w:tcPr>
            <w:tcW w:w="3120"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559"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843"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2268" w:type="dxa"/>
            <w:gridSpan w:val="2"/>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704"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Текущ към 01.01.2024 г.</w:t>
            </w:r>
          </w:p>
        </w:tc>
        <w:tc>
          <w:tcPr>
            <w:tcW w:w="1273"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Цели за 2024 г.</w:t>
            </w:r>
          </w:p>
        </w:tc>
        <w:tc>
          <w:tcPr>
            <w:tcW w:w="992"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Водеща</w:t>
            </w:r>
          </w:p>
        </w:tc>
        <w:tc>
          <w:tcPr>
            <w:tcW w:w="2126"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Партньор</w:t>
            </w:r>
          </w:p>
        </w:tc>
      </w:tr>
      <w:tr w:rsidR="00D53405" w:rsidRPr="001E3810" w:rsidTr="002C6596">
        <w:trPr>
          <w:gridAfter w:val="1"/>
          <w:wAfter w:w="53" w:type="dxa"/>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2.1.1. Подпомагане прехода от образование към заетост за младежи, завършили висше образование и подпомагане придобиването на трудови навици и професионален опит (НП „Старт на кариерата“, проект „Младежка заетост +“ </w:t>
            </w:r>
          </w:p>
        </w:tc>
        <w:tc>
          <w:tcPr>
            <w:tcW w:w="1559" w:type="dxa"/>
          </w:tcPr>
          <w:p w:rsidR="00D53405" w:rsidRPr="002C6596" w:rsidRDefault="00D53405" w:rsidP="002C6596">
            <w:pPr>
              <w:spacing w:after="0" w:line="240" w:lineRule="auto"/>
              <w:rPr>
                <w:rFonts w:ascii="Times New Roman" w:hAnsi="Times New Roman" w:cs="Times New Roman"/>
                <w:lang w:val="en-US"/>
              </w:rPr>
            </w:pPr>
            <w:r w:rsidRPr="002C6596">
              <w:rPr>
                <w:rFonts w:ascii="Times New Roman" w:hAnsi="Times New Roman" w:cs="Times New Roman"/>
              </w:rPr>
              <w:t xml:space="preserve">47 103 200 лв., вкл. 45 968 000 лв. за проект „Младежка заетост+ </w:t>
            </w:r>
            <w:r w:rsidRPr="002C6596">
              <w:rPr>
                <w:rFonts w:ascii="Times New Roman" w:hAnsi="Times New Roman" w:cs="Times New Roman"/>
                <w:lang w:val="en-US"/>
              </w:rPr>
              <w:t>(</w:t>
            </w:r>
            <w:r w:rsidRPr="002C6596">
              <w:rPr>
                <w:rFonts w:ascii="Times New Roman" w:hAnsi="Times New Roman" w:cs="Times New Roman"/>
              </w:rPr>
              <w:t>по П РЧР</w:t>
            </w:r>
            <w:r w:rsidRPr="002C6596">
              <w:rPr>
                <w:rFonts w:ascii="Times New Roman" w:hAnsi="Times New Roman" w:cs="Times New Roman"/>
                <w:lang w:val="en-US"/>
              </w:rPr>
              <w:t>)</w:t>
            </w:r>
          </w:p>
        </w:tc>
        <w:tc>
          <w:tcPr>
            <w:tcW w:w="184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„Младежка заетост+“ до декември 2027 г.</w:t>
            </w:r>
          </w:p>
        </w:tc>
        <w:tc>
          <w:tcPr>
            <w:tcW w:w="2268"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Осигурена възможност за преход от образование към заетост на младежи до 29 г. (вкл.)</w:t>
            </w:r>
          </w:p>
        </w:tc>
        <w:tc>
          <w:tcPr>
            <w:tcW w:w="170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895 лица включени в заетост</w:t>
            </w:r>
          </w:p>
        </w:tc>
        <w:tc>
          <w:tcPr>
            <w:tcW w:w="12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3 825 включени в заетост</w:t>
            </w:r>
          </w:p>
        </w:tc>
        <w:tc>
          <w:tcPr>
            <w:tcW w:w="992"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tc>
        <w:tc>
          <w:tcPr>
            <w:tcW w:w="2126"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публични администрации, работодатели</w:t>
            </w:r>
          </w:p>
        </w:tc>
      </w:tr>
      <w:tr w:rsidR="00D53405" w:rsidRPr="001E3810" w:rsidTr="002C6596">
        <w:trPr>
          <w:gridAfter w:val="1"/>
          <w:wAfter w:w="53" w:type="dxa"/>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2.1.2. Насърчаване участието в заетост на безработни лица с трайни увреждания (Национална програма за заетост и обучение на хора с трайни увреждания, чл. 51, ал. 2 ЗНЗ)</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14 394 6</w:t>
            </w:r>
            <w:r w:rsidRPr="002C6596">
              <w:rPr>
                <w:rFonts w:ascii="Times New Roman" w:hAnsi="Times New Roman" w:cs="Times New Roman"/>
                <w:lang w:val="en-US"/>
              </w:rPr>
              <w:t>2</w:t>
            </w:r>
            <w:r w:rsidRPr="002C6596">
              <w:rPr>
                <w:rFonts w:ascii="Times New Roman" w:hAnsi="Times New Roman" w:cs="Times New Roman"/>
              </w:rPr>
              <w:t>6 лв.</w:t>
            </w:r>
          </w:p>
        </w:tc>
        <w:tc>
          <w:tcPr>
            <w:tcW w:w="184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2025 г.</w:t>
            </w:r>
          </w:p>
        </w:tc>
        <w:tc>
          <w:tcPr>
            <w:tcW w:w="2268"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Осигурена заетост на безработни лица с увреждания.</w:t>
            </w:r>
          </w:p>
        </w:tc>
        <w:tc>
          <w:tcPr>
            <w:tcW w:w="170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1 360 лица включени в заетост</w:t>
            </w:r>
          </w:p>
        </w:tc>
        <w:tc>
          <w:tcPr>
            <w:tcW w:w="12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1 490 включени в заетост</w:t>
            </w:r>
          </w:p>
        </w:tc>
        <w:tc>
          <w:tcPr>
            <w:tcW w:w="992"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tc>
        <w:tc>
          <w:tcPr>
            <w:tcW w:w="212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АСП, АХУ, ДСП, ДБТ, областни и общински предприятия, специализирани предприятия и кооперации за хора с увреждания, частни и/или държавни предприятия, </w:t>
            </w:r>
            <w:r w:rsidRPr="002C6596">
              <w:rPr>
                <w:rFonts w:ascii="Times New Roman" w:hAnsi="Times New Roman" w:cs="Times New Roman"/>
                <w:lang w:eastAsia="bg-BG"/>
              </w:rPr>
              <w:t>други фирми и институции, юридически лица с нестопанска цел</w:t>
            </w:r>
            <w:r w:rsidRPr="002C6596">
              <w:rPr>
                <w:rFonts w:ascii="Times New Roman" w:hAnsi="Times New Roman" w:cs="Times New Roman"/>
              </w:rPr>
              <w:t xml:space="preserve"> </w:t>
            </w:r>
          </w:p>
        </w:tc>
      </w:tr>
      <w:tr w:rsidR="00D53405" w:rsidRPr="001E3810" w:rsidTr="002C6596">
        <w:trPr>
          <w:gridAfter w:val="1"/>
          <w:wAfter w:w="53" w:type="dxa"/>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2.1.3. Подкрепа на прехода от безработица към работа и пенсиониране на безработни лица над 60 г. (Национална програма „Помощ за пенсиониране”)</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7 749 361 лв.</w:t>
            </w:r>
          </w:p>
        </w:tc>
        <w:tc>
          <w:tcPr>
            <w:tcW w:w="184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2025 г.</w:t>
            </w:r>
          </w:p>
        </w:tc>
        <w:tc>
          <w:tcPr>
            <w:tcW w:w="2268"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Насърчено участието на пазара на труда на безработни лица над 60 г.</w:t>
            </w:r>
          </w:p>
        </w:tc>
        <w:tc>
          <w:tcPr>
            <w:tcW w:w="170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762 лица, включени в заетост</w:t>
            </w:r>
          </w:p>
        </w:tc>
        <w:tc>
          <w:tcPr>
            <w:tcW w:w="12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832 включени в заетост</w:t>
            </w:r>
          </w:p>
        </w:tc>
        <w:tc>
          <w:tcPr>
            <w:tcW w:w="992"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tc>
        <w:tc>
          <w:tcPr>
            <w:tcW w:w="2126" w:type="dxa"/>
          </w:tcPr>
          <w:p w:rsidR="00D53405" w:rsidRPr="002C6596" w:rsidRDefault="00D53405" w:rsidP="002C6596">
            <w:pPr>
              <w:spacing w:after="0" w:line="240" w:lineRule="auto"/>
              <w:ind w:right="-102"/>
              <w:rPr>
                <w:rFonts w:ascii="Times New Roman" w:hAnsi="Times New Roman" w:cs="Times New Roman"/>
                <w:lang w:eastAsia="bg-BG"/>
              </w:rPr>
            </w:pPr>
            <w:r w:rsidRPr="002C6596">
              <w:rPr>
                <w:rFonts w:ascii="Times New Roman" w:hAnsi="Times New Roman" w:cs="Times New Roman"/>
                <w:lang w:eastAsia="bg-BG"/>
              </w:rPr>
              <w:t xml:space="preserve">Работодатели </w:t>
            </w:r>
          </w:p>
        </w:tc>
      </w:tr>
      <w:tr w:rsidR="00D53405" w:rsidRPr="001E3810" w:rsidTr="002C6596">
        <w:trPr>
          <w:gridAfter w:val="1"/>
          <w:wAfter w:w="53" w:type="dxa"/>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2.1.4. Подпомагане включването в заетост на продължително безработни лица (Национална програма за обучение и заетост на продължително безработни лица)</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4 677 369 лв.</w:t>
            </w:r>
          </w:p>
        </w:tc>
        <w:tc>
          <w:tcPr>
            <w:tcW w:w="184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2024 г.</w:t>
            </w:r>
          </w:p>
        </w:tc>
        <w:tc>
          <w:tcPr>
            <w:tcW w:w="2268"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Подпомогната заетостта на продължително безработни лица</w:t>
            </w:r>
          </w:p>
        </w:tc>
        <w:tc>
          <w:tcPr>
            <w:tcW w:w="170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лица, включени в заетост</w:t>
            </w:r>
          </w:p>
        </w:tc>
        <w:tc>
          <w:tcPr>
            <w:tcW w:w="12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500 включени в заетост</w:t>
            </w:r>
          </w:p>
        </w:tc>
        <w:tc>
          <w:tcPr>
            <w:tcW w:w="992"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tc>
        <w:tc>
          <w:tcPr>
            <w:tcW w:w="212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lang w:eastAsia="bg-BG"/>
              </w:rPr>
              <w:t>Работодатели, областни и общински администрации</w:t>
            </w:r>
          </w:p>
        </w:tc>
      </w:tr>
      <w:tr w:rsidR="00D53405" w:rsidRPr="001E3810" w:rsidTr="002C6596">
        <w:trPr>
          <w:gridAfter w:val="1"/>
          <w:wAfter w:w="53" w:type="dxa"/>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2.1.5. Намаляване на регионалните различия в заетостта чрез подкрепа за включване в заетост на лицата от неравнопоставените групи на местния пазар на труда (Регионални програми за заетост) </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13 665 600 лв.</w:t>
            </w:r>
            <w:r w:rsidRPr="001E3810">
              <w:t xml:space="preserve"> </w:t>
            </w:r>
          </w:p>
        </w:tc>
        <w:tc>
          <w:tcPr>
            <w:tcW w:w="184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2024 г.</w:t>
            </w:r>
          </w:p>
        </w:tc>
        <w:tc>
          <w:tcPr>
            <w:tcW w:w="2268"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Намалени регионални различия, осигурена възможност за заетост на лица от неравнопоставените групи на пазара на труда</w:t>
            </w:r>
          </w:p>
        </w:tc>
        <w:tc>
          <w:tcPr>
            <w:tcW w:w="170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лица, включени в заетост</w:t>
            </w:r>
          </w:p>
        </w:tc>
        <w:tc>
          <w:tcPr>
            <w:tcW w:w="12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1 950 включени в заетост</w:t>
            </w:r>
          </w:p>
        </w:tc>
        <w:tc>
          <w:tcPr>
            <w:tcW w:w="992"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МТСП,АЗ</w:t>
            </w:r>
          </w:p>
        </w:tc>
        <w:tc>
          <w:tcPr>
            <w:tcW w:w="212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Общински и областни администрации, предприятия и сдружения</w:t>
            </w:r>
          </w:p>
        </w:tc>
      </w:tr>
      <w:tr w:rsidR="00D53405" w:rsidRPr="001E3810" w:rsidTr="002C6596">
        <w:trPr>
          <w:gridAfter w:val="1"/>
          <w:wAfter w:w="53" w:type="dxa"/>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2.1.6. Насърчаване на заетостта на безработни лица от групите в неравностойно положение на пазара на труда (чл. 36, чл. 51, ал. 1 и чл. 55д от ЗНЗ, Национална програма за заетост и обучение на бежанци </w:t>
            </w:r>
            <w:r w:rsidRPr="002C6596">
              <w:rPr>
                <w:rFonts w:ascii="Times New Roman" w:hAnsi="Times New Roman" w:cs="Times New Roman"/>
                <w:lang w:val="en-US"/>
              </w:rPr>
              <w:t>(</w:t>
            </w:r>
            <w:r w:rsidRPr="002C6596">
              <w:rPr>
                <w:rFonts w:ascii="Times New Roman" w:hAnsi="Times New Roman" w:cs="Times New Roman"/>
              </w:rPr>
              <w:t>НПЗОБ</w:t>
            </w:r>
            <w:r w:rsidRPr="002C6596">
              <w:rPr>
                <w:rFonts w:ascii="Times New Roman" w:hAnsi="Times New Roman" w:cs="Times New Roman"/>
                <w:lang w:val="en-US"/>
              </w:rPr>
              <w:t>)</w:t>
            </w:r>
            <w:r w:rsidRPr="002C6596">
              <w:rPr>
                <w:rFonts w:ascii="Times New Roman" w:hAnsi="Times New Roman" w:cs="Times New Roman"/>
              </w:rPr>
              <w:t xml:space="preserve">, Национална програма „Мелпомена“, Компонент 3 „Заетост“ по операция „Започвам работа“ и „Устойчива заетост за хора в неравностойно положение“ </w:t>
            </w:r>
            <w:r w:rsidRPr="002C6596">
              <w:rPr>
                <w:rFonts w:ascii="Times New Roman" w:hAnsi="Times New Roman" w:cs="Times New Roman"/>
                <w:lang w:val="en-US"/>
              </w:rPr>
              <w:t>(</w:t>
            </w:r>
            <w:r w:rsidRPr="002C6596">
              <w:rPr>
                <w:rFonts w:ascii="Times New Roman" w:hAnsi="Times New Roman" w:cs="Times New Roman"/>
              </w:rPr>
              <w:t>УЗХНП</w:t>
            </w:r>
            <w:r w:rsidRPr="002C6596">
              <w:rPr>
                <w:rFonts w:ascii="Times New Roman" w:hAnsi="Times New Roman" w:cs="Times New Roman"/>
                <w:lang w:val="en-US"/>
              </w:rPr>
              <w:t>)</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Общо:</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107 464 893 лв.</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като в т.ч.:</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чл. 36: 7 884 000 лв.</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чл. 51 ал.1: 2 048 987 лв.</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чл. 55д: 140 160 лв.</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НП „Мелпомена“: 3 122 435 лв.</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НПЗОБ: 269 311 лв.;</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Компонент 3- Заетост 74 000 000 лв. </w:t>
            </w:r>
            <w:r w:rsidRPr="002C6596">
              <w:rPr>
                <w:rFonts w:ascii="Times New Roman" w:hAnsi="Times New Roman" w:cs="Times New Roman"/>
                <w:lang w:val="en-US"/>
              </w:rPr>
              <w:t>(</w:t>
            </w:r>
            <w:r w:rsidRPr="002C6596">
              <w:rPr>
                <w:rFonts w:ascii="Times New Roman" w:hAnsi="Times New Roman" w:cs="Times New Roman"/>
              </w:rPr>
              <w:t>П</w:t>
            </w:r>
            <w:r w:rsidRPr="002C6596">
              <w:rPr>
                <w:rFonts w:ascii="Times New Roman" w:hAnsi="Times New Roman" w:cs="Times New Roman"/>
                <w:lang w:val="en-US"/>
              </w:rPr>
              <w:t xml:space="preserve"> </w:t>
            </w:r>
            <w:r w:rsidRPr="002C6596">
              <w:rPr>
                <w:rFonts w:ascii="Times New Roman" w:hAnsi="Times New Roman" w:cs="Times New Roman"/>
              </w:rPr>
              <w:t>РЧР</w:t>
            </w:r>
            <w:r w:rsidRPr="002C6596">
              <w:rPr>
                <w:rFonts w:ascii="Times New Roman" w:hAnsi="Times New Roman" w:cs="Times New Roman"/>
                <w:lang w:val="en-US"/>
              </w:rPr>
              <w:t>)</w:t>
            </w:r>
            <w:r w:rsidRPr="002C6596">
              <w:rPr>
                <w:rFonts w:ascii="Times New Roman" w:hAnsi="Times New Roman" w:cs="Times New Roman"/>
              </w:rPr>
              <w:t xml:space="preserve"> и УЗХНП-20 000 000 лв. </w:t>
            </w:r>
            <w:r w:rsidRPr="002C6596">
              <w:rPr>
                <w:rFonts w:ascii="Times New Roman" w:hAnsi="Times New Roman" w:cs="Times New Roman"/>
                <w:lang w:val="en-US"/>
              </w:rPr>
              <w:t>(</w:t>
            </w:r>
            <w:r w:rsidRPr="002C6596">
              <w:rPr>
                <w:rFonts w:ascii="Times New Roman" w:hAnsi="Times New Roman" w:cs="Times New Roman"/>
              </w:rPr>
              <w:t>П</w:t>
            </w:r>
            <w:r w:rsidRPr="002C6596">
              <w:rPr>
                <w:rFonts w:ascii="Times New Roman" w:hAnsi="Times New Roman" w:cs="Times New Roman"/>
                <w:lang w:val="en-US"/>
              </w:rPr>
              <w:t xml:space="preserve"> </w:t>
            </w:r>
            <w:r w:rsidRPr="002C6596">
              <w:rPr>
                <w:rFonts w:ascii="Times New Roman" w:hAnsi="Times New Roman" w:cs="Times New Roman"/>
              </w:rPr>
              <w:t>РЧР</w:t>
            </w:r>
            <w:r w:rsidRPr="002C6596">
              <w:rPr>
                <w:rFonts w:ascii="Times New Roman" w:hAnsi="Times New Roman" w:cs="Times New Roman"/>
                <w:lang w:val="en-US"/>
              </w:rPr>
              <w:t>)</w:t>
            </w:r>
          </w:p>
        </w:tc>
        <w:tc>
          <w:tcPr>
            <w:tcW w:w="184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2024 г.</w:t>
            </w:r>
          </w:p>
        </w:tc>
        <w:tc>
          <w:tcPr>
            <w:tcW w:w="2268"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Осигурена заетост на безработни в неравностойно положение на пазара на труда</w:t>
            </w:r>
          </w:p>
        </w:tc>
        <w:tc>
          <w:tcPr>
            <w:tcW w:w="170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639 лица, включени в заетост</w:t>
            </w:r>
          </w:p>
        </w:tc>
        <w:tc>
          <w:tcPr>
            <w:tcW w:w="12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2 769 заетост</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като в т.ч.:</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 чл. 36: 1 000 б. л. /1 000 ментори.;</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 чл. 51 ал. 1: 100 б. л.;</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 чл. 55д: 20 б. л.;</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 НПЗОБ: 10 б. л.;</w:t>
            </w:r>
            <w:r w:rsidRPr="001E3810">
              <w:t xml:space="preserve"> по </w:t>
            </w:r>
            <w:r w:rsidRPr="002C6596">
              <w:rPr>
                <w:rFonts w:ascii="Times New Roman" w:hAnsi="Times New Roman" w:cs="Times New Roman"/>
              </w:rPr>
              <w:t xml:space="preserve">НП „Мелпомена“: 290 </w:t>
            </w:r>
            <w:r w:rsidRPr="002C6596">
              <w:rPr>
                <w:rFonts w:ascii="Times New Roman" w:hAnsi="Times New Roman" w:cs="Times New Roman"/>
              </w:rPr>
              <w:br/>
              <w:t>б. л.;</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 Компонент 3 „Заетост“ (ПРЧР)</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и УЗХНП </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(ПРЧР)</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и 120 б. л. обучение:</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 чл. 36: 100 б. л.</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по НПЗОБ: 20 б. л.</w:t>
            </w:r>
          </w:p>
        </w:tc>
        <w:tc>
          <w:tcPr>
            <w:tcW w:w="992"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tc>
        <w:tc>
          <w:tcPr>
            <w:tcW w:w="212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Работодатели </w:t>
            </w:r>
          </w:p>
        </w:tc>
      </w:tr>
      <w:tr w:rsidR="00D53405" w:rsidRPr="001E3810" w:rsidTr="002C6596">
        <w:trPr>
          <w:gridAfter w:val="1"/>
          <w:wAfter w:w="53" w:type="dxa"/>
          <w:trHeight w:val="1474"/>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2.1.7. Насърчаване на териториалната мобилност (преместване) на безработните лица с цел започване на работа (чл. 42, ал. 3 ЗНЗ).</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174 870 лв.</w:t>
            </w:r>
          </w:p>
        </w:tc>
        <w:tc>
          <w:tcPr>
            <w:tcW w:w="184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2024 г.</w:t>
            </w:r>
          </w:p>
        </w:tc>
        <w:tc>
          <w:tcPr>
            <w:tcW w:w="2268"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Създадени условия и осигурена възможност за мобилност на безработни лица с цел започване на работа</w:t>
            </w:r>
          </w:p>
        </w:tc>
        <w:tc>
          <w:tcPr>
            <w:tcW w:w="170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44 лица, възползвали се от мярката</w:t>
            </w:r>
          </w:p>
        </w:tc>
        <w:tc>
          <w:tcPr>
            <w:tcW w:w="12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59 лица, възползвали се от мярката</w:t>
            </w:r>
          </w:p>
        </w:tc>
        <w:tc>
          <w:tcPr>
            <w:tcW w:w="992"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tc>
        <w:tc>
          <w:tcPr>
            <w:tcW w:w="212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Работодатели</w:t>
            </w:r>
          </w:p>
        </w:tc>
      </w:tr>
      <w:tr w:rsidR="00D53405" w:rsidRPr="001E3810" w:rsidTr="002C6596">
        <w:trPr>
          <w:gridAfter w:val="1"/>
          <w:wAfter w:w="53" w:type="dxa"/>
          <w:trHeight w:val="635"/>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2.1.8. Насърчаване на предприемачеството сред безработните лица и работодателите-микропредприятие (чл. 47, 48, 49, 49б и чл. 50 от ЗНЗ).</w:t>
            </w:r>
          </w:p>
        </w:tc>
        <w:tc>
          <w:tcPr>
            <w:tcW w:w="1559" w:type="dxa"/>
          </w:tcPr>
          <w:p w:rsidR="00D53405" w:rsidRPr="002C6596" w:rsidRDefault="00D53405" w:rsidP="002C6596">
            <w:pPr>
              <w:spacing w:after="0" w:line="240" w:lineRule="auto"/>
              <w:ind w:right="-105"/>
              <w:rPr>
                <w:rFonts w:ascii="Times New Roman" w:hAnsi="Times New Roman" w:cs="Times New Roman"/>
                <w:lang w:val="en-US"/>
              </w:rPr>
            </w:pPr>
            <w:r w:rsidRPr="002C6596">
              <w:rPr>
                <w:rFonts w:ascii="Times New Roman" w:hAnsi="Times New Roman" w:cs="Times New Roman"/>
              </w:rPr>
              <w:t>1 795 918 лв.</w:t>
            </w:r>
          </w:p>
        </w:tc>
        <w:tc>
          <w:tcPr>
            <w:tcW w:w="184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2024 г.</w:t>
            </w:r>
          </w:p>
        </w:tc>
        <w:tc>
          <w:tcPr>
            <w:tcW w:w="2268"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Създадени условия за стартиране на самостоятелна стопанска дейност и подкрепа на работодатели-микропредприятия</w:t>
            </w:r>
          </w:p>
        </w:tc>
        <w:tc>
          <w:tcPr>
            <w:tcW w:w="170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322 брой лица, възползвали се от мярката</w:t>
            </w:r>
          </w:p>
        </w:tc>
        <w:tc>
          <w:tcPr>
            <w:tcW w:w="12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587 брой лица, възползвали се от мярката</w:t>
            </w:r>
          </w:p>
        </w:tc>
        <w:tc>
          <w:tcPr>
            <w:tcW w:w="992"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НОИ</w:t>
            </w:r>
          </w:p>
        </w:tc>
        <w:tc>
          <w:tcPr>
            <w:tcW w:w="2126" w:type="dxa"/>
          </w:tcPr>
          <w:p w:rsidR="00D53405" w:rsidRPr="002C6596" w:rsidRDefault="00D53405" w:rsidP="002C6596">
            <w:pPr>
              <w:spacing w:after="0" w:line="240" w:lineRule="auto"/>
              <w:jc w:val="center"/>
              <w:rPr>
                <w:rFonts w:ascii="Times New Roman" w:hAnsi="Times New Roman" w:cs="Times New Roman"/>
              </w:rPr>
            </w:pPr>
          </w:p>
        </w:tc>
      </w:tr>
      <w:tr w:rsidR="00D53405" w:rsidRPr="001E3810" w:rsidTr="002C659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5" w:type="dxa"/>
            <w:right w:w="55" w:type="dxa"/>
          </w:tblCellMar>
        </w:tblPrEx>
        <w:trPr>
          <w:trHeight w:val="1604"/>
        </w:trPr>
        <w:tc>
          <w:tcPr>
            <w:tcW w:w="3120"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 xml:space="preserve">2.1.9. Осигуряване на достъп до работно място на лица с трайно увреждане; приспособяване на работни места; оборудване на работни места за хора с трайно увреждане; квалификация и преквалификация, съответно обучение за професионално и служебно развитие на хора с трайно увреждане по Национална програма за заетост на хората с увреждания, </w:t>
            </w:r>
            <w:r w:rsidRPr="002C6596">
              <w:rPr>
                <w:rFonts w:ascii="Times New Roman" w:hAnsi="Times New Roman" w:cs="Times New Roman"/>
                <w:lang w:val="en-US"/>
              </w:rPr>
              <w:t>(</w:t>
            </w:r>
            <w:r w:rsidRPr="002C6596">
              <w:rPr>
                <w:rFonts w:ascii="Times New Roman" w:hAnsi="Times New Roman" w:cs="Times New Roman"/>
              </w:rPr>
              <w:t>чл. 44, ал. 1 от Закона за хората с увреждания</w:t>
            </w:r>
            <w:r w:rsidRPr="002C6596">
              <w:rPr>
                <w:rFonts w:ascii="Times New Roman" w:hAnsi="Times New Roman" w:cs="Times New Roman"/>
                <w:lang w:val="en-US"/>
              </w:rPr>
              <w:t>)</w:t>
            </w:r>
            <w:r w:rsidRPr="002C6596">
              <w:rPr>
                <w:rFonts w:ascii="Times New Roman" w:hAnsi="Times New Roman" w:cs="Times New Roman"/>
              </w:rPr>
              <w:t>.</w:t>
            </w:r>
          </w:p>
        </w:tc>
        <w:tc>
          <w:tcPr>
            <w:tcW w:w="1559"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2 884 600 лв.</w:t>
            </w:r>
          </w:p>
        </w:tc>
        <w:tc>
          <w:tcPr>
            <w:tcW w:w="184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декември 2024 г.</w:t>
            </w:r>
          </w:p>
        </w:tc>
        <w:tc>
          <w:tcPr>
            <w:tcW w:w="1984"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Подкрепени работни места за лица с трайно увреждане</w:t>
            </w:r>
          </w:p>
        </w:tc>
        <w:tc>
          <w:tcPr>
            <w:tcW w:w="1985" w:type="dxa"/>
            <w:gridSpan w:val="2"/>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127 подкрепени работни места</w:t>
            </w:r>
          </w:p>
        </w:tc>
        <w:tc>
          <w:tcPr>
            <w:tcW w:w="1275"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500 подкрепени работни места</w:t>
            </w:r>
          </w:p>
        </w:tc>
        <w:tc>
          <w:tcPr>
            <w:tcW w:w="99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МТСП, АХУ</w:t>
            </w:r>
          </w:p>
        </w:tc>
        <w:tc>
          <w:tcPr>
            <w:tcW w:w="2126" w:type="dxa"/>
            <w:gridSpan w:val="2"/>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lang w:eastAsia="bg-BG"/>
              </w:rPr>
              <w:t>Работодатели</w:t>
            </w:r>
          </w:p>
        </w:tc>
      </w:tr>
      <w:tr w:rsidR="00D53405" w:rsidRPr="001E3810" w:rsidTr="002C659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5" w:type="dxa"/>
            <w:right w:w="55" w:type="dxa"/>
          </w:tblCellMar>
        </w:tblPrEx>
        <w:trPr>
          <w:trHeight w:val="997"/>
        </w:trPr>
        <w:tc>
          <w:tcPr>
            <w:tcW w:w="3120" w:type="dxa"/>
          </w:tcPr>
          <w:p w:rsidR="00D53405" w:rsidRPr="002C6596" w:rsidRDefault="00D53405" w:rsidP="002C6596">
            <w:pPr>
              <w:tabs>
                <w:tab w:val="left" w:pos="453"/>
                <w:tab w:val="left" w:pos="595"/>
              </w:tabs>
              <w:spacing w:after="0" w:line="240" w:lineRule="auto"/>
              <w:jc w:val="both"/>
              <w:rPr>
                <w:rFonts w:ascii="Times New Roman" w:hAnsi="Times New Roman" w:cs="Times New Roman"/>
              </w:rPr>
            </w:pPr>
            <w:r w:rsidRPr="002C6596">
              <w:rPr>
                <w:rFonts w:ascii="Times New Roman" w:hAnsi="Times New Roman" w:cs="Times New Roman"/>
              </w:rPr>
              <w:t xml:space="preserve">2.1.10. Финансиране на целеви проекти със социална насоченост на специализирани предприятия и кооперации на хората с увреждания, </w:t>
            </w:r>
            <w:r w:rsidRPr="002C6596">
              <w:rPr>
                <w:rFonts w:ascii="Times New Roman" w:hAnsi="Times New Roman" w:cs="Times New Roman"/>
                <w:lang w:val="en-US"/>
              </w:rPr>
              <w:t>(</w:t>
            </w:r>
            <w:r w:rsidRPr="002C6596">
              <w:rPr>
                <w:rFonts w:ascii="Times New Roman" w:hAnsi="Times New Roman" w:cs="Times New Roman"/>
              </w:rPr>
              <w:t>чл. 49 от Закона за хората с увреждания</w:t>
            </w:r>
            <w:r w:rsidRPr="002C6596">
              <w:rPr>
                <w:rFonts w:ascii="Times New Roman" w:hAnsi="Times New Roman" w:cs="Times New Roman"/>
                <w:lang w:val="en-US"/>
              </w:rPr>
              <w:t>)</w:t>
            </w:r>
            <w:r w:rsidRPr="002C6596">
              <w:rPr>
                <w:rFonts w:ascii="Times New Roman" w:hAnsi="Times New Roman" w:cs="Times New Roman"/>
              </w:rPr>
              <w:t>.</w:t>
            </w:r>
          </w:p>
        </w:tc>
        <w:tc>
          <w:tcPr>
            <w:tcW w:w="1559"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600 000 лв.</w:t>
            </w:r>
          </w:p>
        </w:tc>
        <w:tc>
          <w:tcPr>
            <w:tcW w:w="184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 xml:space="preserve">декември 2024 г. </w:t>
            </w:r>
          </w:p>
        </w:tc>
        <w:tc>
          <w:tcPr>
            <w:tcW w:w="1984"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Създадени и подобрени здравословни и безопасни условия на труд и повишена професионална квалификация на служителите с трайни увреждания в специализираните предприятия и кооперации на хората с увреждания.</w:t>
            </w:r>
          </w:p>
        </w:tc>
        <w:tc>
          <w:tcPr>
            <w:tcW w:w="1985" w:type="dxa"/>
            <w:gridSpan w:val="2"/>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 xml:space="preserve"> 0 разкрити работни места с осигурени и/или подобрени здравословни и безопасни условия на труд</w:t>
            </w:r>
          </w:p>
        </w:tc>
        <w:tc>
          <w:tcPr>
            <w:tcW w:w="1275"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365 работни места с осигурени и/или подобрени здравословни и безопасни условия на труд</w:t>
            </w:r>
          </w:p>
        </w:tc>
        <w:tc>
          <w:tcPr>
            <w:tcW w:w="99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АХУ</w:t>
            </w:r>
          </w:p>
        </w:tc>
        <w:tc>
          <w:tcPr>
            <w:tcW w:w="2126"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Специализирани предприятия и кооперации на хора с увреждания</w:t>
            </w:r>
          </w:p>
        </w:tc>
      </w:tr>
      <w:tr w:rsidR="00D53405" w:rsidRPr="001E3810" w:rsidTr="002C659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5" w:type="dxa"/>
            <w:right w:w="55" w:type="dxa"/>
          </w:tblCellMar>
        </w:tblPrEx>
        <w:trPr>
          <w:trHeight w:val="846"/>
        </w:trPr>
        <w:tc>
          <w:tcPr>
            <w:tcW w:w="3120" w:type="dxa"/>
          </w:tcPr>
          <w:p w:rsidR="00D53405" w:rsidRPr="002C6596" w:rsidRDefault="00D53405" w:rsidP="002C6596">
            <w:pPr>
              <w:tabs>
                <w:tab w:val="left" w:pos="170"/>
                <w:tab w:val="left" w:pos="312"/>
                <w:tab w:val="left" w:pos="453"/>
              </w:tabs>
              <w:spacing w:after="0" w:line="240" w:lineRule="auto"/>
              <w:jc w:val="both"/>
              <w:rPr>
                <w:rFonts w:ascii="Times New Roman" w:hAnsi="Times New Roman" w:cs="Times New Roman"/>
                <w:lang w:val="en-US"/>
              </w:rPr>
            </w:pPr>
            <w:r w:rsidRPr="002C6596">
              <w:rPr>
                <w:rFonts w:ascii="Times New Roman" w:hAnsi="Times New Roman" w:cs="Times New Roman"/>
              </w:rPr>
              <w:t>2.1.11</w:t>
            </w:r>
            <w:r w:rsidRPr="002C6596">
              <w:rPr>
                <w:rFonts w:ascii="Times New Roman" w:hAnsi="Times New Roman" w:cs="Times New Roman"/>
                <w:b/>
              </w:rPr>
              <w:t>.</w:t>
            </w:r>
            <w:r w:rsidRPr="002C6596">
              <w:rPr>
                <w:rFonts w:ascii="Times New Roman" w:hAnsi="Times New Roman" w:cs="Times New Roman"/>
              </w:rPr>
              <w:tab/>
              <w:t xml:space="preserve">Финансиране на проекти със стопанска насоченост на специализирани предприятия и кооперации на хора с увреждания, </w:t>
            </w:r>
            <w:r w:rsidRPr="002C6596">
              <w:rPr>
                <w:rFonts w:ascii="Times New Roman" w:hAnsi="Times New Roman" w:cs="Times New Roman"/>
                <w:lang w:val="en-US"/>
              </w:rPr>
              <w:t>(</w:t>
            </w:r>
            <w:r w:rsidRPr="002C6596">
              <w:rPr>
                <w:rFonts w:ascii="Times New Roman" w:hAnsi="Times New Roman" w:cs="Times New Roman"/>
              </w:rPr>
              <w:t>чл. 49 от Закона за хората с увреждания</w:t>
            </w:r>
            <w:r w:rsidRPr="002C6596">
              <w:rPr>
                <w:rFonts w:ascii="Times New Roman" w:hAnsi="Times New Roman" w:cs="Times New Roman"/>
                <w:lang w:val="en-US"/>
              </w:rPr>
              <w:t>).</w:t>
            </w:r>
          </w:p>
        </w:tc>
        <w:tc>
          <w:tcPr>
            <w:tcW w:w="1559"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900 000 лв.</w:t>
            </w:r>
          </w:p>
        </w:tc>
        <w:tc>
          <w:tcPr>
            <w:tcW w:w="184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декември 2024 г.</w:t>
            </w:r>
          </w:p>
        </w:tc>
        <w:tc>
          <w:tcPr>
            <w:tcW w:w="1984"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Разкрити нови и технологично обновени съществуващи работни места за хора с трайни увреждания в специализираните предприятия и кооперации на хората с увреждания.</w:t>
            </w:r>
          </w:p>
        </w:tc>
        <w:tc>
          <w:tcPr>
            <w:tcW w:w="1985" w:type="dxa"/>
            <w:gridSpan w:val="2"/>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4 разкрити работни места и назначени лица с трайни увреждания</w:t>
            </w:r>
          </w:p>
        </w:tc>
        <w:tc>
          <w:tcPr>
            <w:tcW w:w="1275"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30 разкрити работни места и назначени лица с трайни увреждания</w:t>
            </w:r>
          </w:p>
        </w:tc>
        <w:tc>
          <w:tcPr>
            <w:tcW w:w="99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АХУ</w:t>
            </w:r>
          </w:p>
        </w:tc>
        <w:tc>
          <w:tcPr>
            <w:tcW w:w="2126"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Специализирани предприятия и кооперации на хора с увреждания</w:t>
            </w:r>
          </w:p>
        </w:tc>
      </w:tr>
      <w:tr w:rsidR="00D53405" w:rsidRPr="001E3810" w:rsidTr="002C659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5" w:type="dxa"/>
            <w:right w:w="55" w:type="dxa"/>
          </w:tblCellMar>
        </w:tblPrEx>
        <w:trPr>
          <w:trHeight w:val="1152"/>
        </w:trPr>
        <w:tc>
          <w:tcPr>
            <w:tcW w:w="3120" w:type="dxa"/>
          </w:tcPr>
          <w:p w:rsidR="00D53405" w:rsidRPr="002C6596" w:rsidRDefault="00D53405" w:rsidP="002C6596">
            <w:pPr>
              <w:tabs>
                <w:tab w:val="left" w:pos="170"/>
                <w:tab w:val="left" w:pos="312"/>
                <w:tab w:val="left" w:pos="453"/>
              </w:tabs>
              <w:spacing w:after="0" w:line="240" w:lineRule="auto"/>
              <w:jc w:val="both"/>
              <w:rPr>
                <w:rFonts w:ascii="Times New Roman" w:hAnsi="Times New Roman" w:cs="Times New Roman"/>
                <w:lang w:val="en-US"/>
              </w:rPr>
            </w:pPr>
            <w:r w:rsidRPr="002C6596">
              <w:rPr>
                <w:rFonts w:ascii="Times New Roman" w:hAnsi="Times New Roman" w:cs="Times New Roman"/>
              </w:rPr>
              <w:t>2.1.12.</w:t>
            </w:r>
            <w:r w:rsidRPr="002C6596">
              <w:rPr>
                <w:rFonts w:ascii="Times New Roman" w:hAnsi="Times New Roman" w:cs="Times New Roman"/>
                <w:b/>
              </w:rPr>
              <w:t xml:space="preserve"> </w:t>
            </w:r>
            <w:r w:rsidRPr="002C6596">
              <w:rPr>
                <w:rFonts w:ascii="Times New Roman" w:hAnsi="Times New Roman" w:cs="Times New Roman"/>
              </w:rPr>
              <w:t>Финансиране на проекти на лица с трайни увреждания за стартиране и развитие на самостоятелна стопанска дейност</w:t>
            </w:r>
            <w:r w:rsidRPr="002C6596">
              <w:rPr>
                <w:rFonts w:ascii="Times New Roman" w:hAnsi="Times New Roman" w:cs="Times New Roman"/>
                <w:lang w:val="en-US"/>
              </w:rPr>
              <w:t>(</w:t>
            </w:r>
            <w:r w:rsidRPr="002C6596">
              <w:rPr>
                <w:rFonts w:ascii="Times New Roman" w:hAnsi="Times New Roman" w:cs="Times New Roman"/>
              </w:rPr>
              <w:t>чл. 46 от Закона за хората с увреждания</w:t>
            </w:r>
            <w:r w:rsidRPr="002C6596">
              <w:rPr>
                <w:rFonts w:ascii="Times New Roman" w:hAnsi="Times New Roman" w:cs="Times New Roman"/>
                <w:lang w:val="en-US"/>
              </w:rPr>
              <w:t>).</w:t>
            </w:r>
          </w:p>
        </w:tc>
        <w:tc>
          <w:tcPr>
            <w:tcW w:w="1559"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600 000 лв.</w:t>
            </w:r>
          </w:p>
        </w:tc>
        <w:tc>
          <w:tcPr>
            <w:tcW w:w="184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декември 2024 г.</w:t>
            </w:r>
          </w:p>
        </w:tc>
        <w:tc>
          <w:tcPr>
            <w:tcW w:w="1984"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Стартирали самостоятелна стопанска дейност  лица с трайни увреждания; осигурени трудови доходи и подобрено качеството на живот на хората с увреждания; намаляване броя на безработните  хора с увреждания.</w:t>
            </w:r>
          </w:p>
        </w:tc>
        <w:tc>
          <w:tcPr>
            <w:tcW w:w="1985" w:type="dxa"/>
            <w:gridSpan w:val="2"/>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18 лица с трайни увреждания стартирали собствен бизнес</w:t>
            </w:r>
          </w:p>
        </w:tc>
        <w:tc>
          <w:tcPr>
            <w:tcW w:w="1275"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27 лица с трайни увреждания стартирали собствен бизнес</w:t>
            </w:r>
          </w:p>
        </w:tc>
        <w:tc>
          <w:tcPr>
            <w:tcW w:w="99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АХУ</w:t>
            </w:r>
          </w:p>
        </w:tc>
        <w:tc>
          <w:tcPr>
            <w:tcW w:w="2126"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Хора с трайни увреждания</w:t>
            </w:r>
          </w:p>
        </w:tc>
      </w:tr>
      <w:tr w:rsidR="00D53405" w:rsidRPr="001E3810" w:rsidTr="002C659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5" w:type="dxa"/>
            <w:right w:w="55" w:type="dxa"/>
          </w:tblCellMar>
        </w:tblPrEx>
        <w:trPr>
          <w:trHeight w:val="1152"/>
        </w:trPr>
        <w:tc>
          <w:tcPr>
            <w:tcW w:w="3120" w:type="dxa"/>
          </w:tcPr>
          <w:p w:rsidR="00D53405" w:rsidRPr="002C6596" w:rsidRDefault="00D53405" w:rsidP="002C6596">
            <w:pPr>
              <w:tabs>
                <w:tab w:val="left" w:pos="170"/>
                <w:tab w:val="left" w:pos="312"/>
                <w:tab w:val="left" w:pos="453"/>
              </w:tabs>
              <w:spacing w:after="0" w:line="240" w:lineRule="auto"/>
              <w:jc w:val="both"/>
              <w:rPr>
                <w:rFonts w:ascii="Times New Roman" w:hAnsi="Times New Roman" w:cs="Times New Roman"/>
              </w:rPr>
            </w:pPr>
            <w:r w:rsidRPr="002C6596">
              <w:rPr>
                <w:rFonts w:ascii="Times New Roman" w:hAnsi="Times New Roman" w:cs="Times New Roman"/>
              </w:rPr>
              <w:t xml:space="preserve">2.1.13. Финансиране на проекти за създаване на центрове за защитена заетост </w:t>
            </w:r>
            <w:r w:rsidRPr="002C6596">
              <w:rPr>
                <w:rFonts w:ascii="Times New Roman" w:hAnsi="Times New Roman" w:cs="Times New Roman"/>
                <w:lang w:val="en-US"/>
              </w:rPr>
              <w:t>(</w:t>
            </w:r>
            <w:r w:rsidRPr="002C6596">
              <w:rPr>
                <w:rFonts w:ascii="Times New Roman" w:hAnsi="Times New Roman" w:cs="Times New Roman"/>
              </w:rPr>
              <w:t>чл. 51 от Закона за хората с увреждания</w:t>
            </w:r>
            <w:r w:rsidRPr="002C6596">
              <w:rPr>
                <w:rFonts w:ascii="Times New Roman" w:hAnsi="Times New Roman" w:cs="Times New Roman"/>
                <w:lang w:val="en-US"/>
              </w:rPr>
              <w:t>)</w:t>
            </w:r>
            <w:r w:rsidRPr="002C6596">
              <w:rPr>
                <w:rFonts w:ascii="Times New Roman" w:hAnsi="Times New Roman" w:cs="Times New Roman"/>
              </w:rPr>
              <w:t>.</w:t>
            </w:r>
          </w:p>
        </w:tc>
        <w:tc>
          <w:tcPr>
            <w:tcW w:w="1559"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600 000 лв.</w:t>
            </w:r>
          </w:p>
        </w:tc>
        <w:tc>
          <w:tcPr>
            <w:tcW w:w="184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декември 2024 г.</w:t>
            </w:r>
          </w:p>
        </w:tc>
        <w:tc>
          <w:tcPr>
            <w:tcW w:w="1984"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Създадени центрове за защитена заетост за хора с множество трайни увреждания, с интелектуални затруднения и/или психични разстройства.</w:t>
            </w:r>
          </w:p>
        </w:tc>
        <w:tc>
          <w:tcPr>
            <w:tcW w:w="1985" w:type="dxa"/>
            <w:gridSpan w:val="2"/>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4 центъра за защитена заетост</w:t>
            </w:r>
          </w:p>
        </w:tc>
        <w:tc>
          <w:tcPr>
            <w:tcW w:w="1275"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4 центъра за защитена заетост</w:t>
            </w:r>
          </w:p>
        </w:tc>
        <w:tc>
          <w:tcPr>
            <w:tcW w:w="99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АХУ</w:t>
            </w:r>
          </w:p>
        </w:tc>
        <w:tc>
          <w:tcPr>
            <w:tcW w:w="2126" w:type="dxa"/>
            <w:gridSpan w:val="2"/>
          </w:tcPr>
          <w:p w:rsidR="00D53405" w:rsidRPr="002C6596" w:rsidRDefault="00D53405" w:rsidP="002C6596">
            <w:pPr>
              <w:spacing w:after="0" w:line="240" w:lineRule="auto"/>
              <w:ind w:left="89"/>
              <w:rPr>
                <w:rFonts w:ascii="Times New Roman" w:hAnsi="Times New Roman" w:cs="Times New Roman"/>
              </w:rPr>
            </w:pPr>
            <w:r w:rsidRPr="002C6596">
              <w:rPr>
                <w:rFonts w:ascii="Times New Roman" w:hAnsi="Times New Roman" w:cs="Times New Roman"/>
              </w:rPr>
              <w:t>Специализирани предприятия и кооперации на хората с увреждания, трудово-лечебни бази или организации, регистрирани по действащото законодателство</w:t>
            </w:r>
          </w:p>
        </w:tc>
      </w:tr>
      <w:tr w:rsidR="00D53405" w:rsidRPr="001E3810" w:rsidTr="002C6596">
        <w:trPr>
          <w:gridAfter w:val="1"/>
          <w:wAfter w:w="53" w:type="dxa"/>
        </w:trPr>
        <w:tc>
          <w:tcPr>
            <w:tcW w:w="3120"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2.1.14. Намаляване на безработицата посредством включване на безработни лица в дейности за обновяване и подобряване на обществената среда в населените места и на социалната инфраструктура (Проект „Красива България“)</w:t>
            </w:r>
          </w:p>
        </w:tc>
        <w:tc>
          <w:tcPr>
            <w:tcW w:w="1559" w:type="dxa"/>
          </w:tcPr>
          <w:p w:rsidR="00D53405" w:rsidRPr="002C6596" w:rsidRDefault="00D53405" w:rsidP="002C6596">
            <w:pPr>
              <w:spacing w:after="0" w:line="240" w:lineRule="auto"/>
              <w:ind w:right="-105"/>
              <w:rPr>
                <w:rFonts w:ascii="Times New Roman" w:hAnsi="Times New Roman" w:cs="Times New Roman"/>
              </w:rPr>
            </w:pPr>
            <w:r w:rsidRPr="002C6596">
              <w:rPr>
                <w:rFonts w:ascii="Times New Roman" w:hAnsi="Times New Roman" w:cs="Times New Roman"/>
              </w:rPr>
              <w:t>7 000 000 лв.</w:t>
            </w:r>
          </w:p>
        </w:tc>
        <w:tc>
          <w:tcPr>
            <w:tcW w:w="1843" w:type="dxa"/>
          </w:tcPr>
          <w:p w:rsidR="00D53405" w:rsidRPr="002C6596" w:rsidRDefault="00D53405" w:rsidP="002C6596">
            <w:pPr>
              <w:spacing w:after="0" w:line="240" w:lineRule="auto"/>
              <w:jc w:val="both"/>
              <w:rPr>
                <w:rFonts w:ascii="Times New Roman" w:hAnsi="Times New Roman" w:cs="Times New Roman"/>
              </w:rPr>
            </w:pPr>
            <w:r w:rsidRPr="002C6596">
              <w:rPr>
                <w:rFonts w:ascii="Times New Roman" w:hAnsi="Times New Roman" w:cs="Times New Roman"/>
              </w:rPr>
              <w:t>декември 2024 г.</w:t>
            </w:r>
          </w:p>
        </w:tc>
        <w:tc>
          <w:tcPr>
            <w:tcW w:w="1984"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Осигурена заетост в строителството и подкрепа на малкия и средния строителен бизнес и съпътстващите го производства.</w:t>
            </w:r>
          </w:p>
        </w:tc>
        <w:tc>
          <w:tcPr>
            <w:tcW w:w="1985" w:type="dxa"/>
            <w:gridSpan w:val="2"/>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0 лица, включени в заетост</w:t>
            </w:r>
          </w:p>
        </w:tc>
        <w:tc>
          <w:tcPr>
            <w:tcW w:w="1275"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300 лица, включени в заетост</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200 лица, включени в обучение</w:t>
            </w:r>
          </w:p>
        </w:tc>
        <w:tc>
          <w:tcPr>
            <w:tcW w:w="993"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tc>
        <w:tc>
          <w:tcPr>
            <w:tcW w:w="212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Общински и областни администрации, държавни институции</w:t>
            </w:r>
          </w:p>
        </w:tc>
      </w:tr>
    </w:tbl>
    <w:p w:rsidR="00D53405" w:rsidRDefault="00D53405" w:rsidP="005630AF">
      <w:pPr>
        <w:spacing w:after="0" w:line="240" w:lineRule="auto"/>
        <w:jc w:val="both"/>
        <w:rPr>
          <w:rFonts w:ascii="Times New Roman" w:hAnsi="Times New Roman" w:cs="Times New Roman"/>
          <w:b/>
          <w:sz w:val="24"/>
          <w:szCs w:val="24"/>
        </w:rPr>
      </w:pPr>
    </w:p>
    <w:p w:rsidR="00D53405" w:rsidRDefault="00D53405" w:rsidP="005630AF">
      <w:pPr>
        <w:spacing w:after="0" w:line="240" w:lineRule="auto"/>
        <w:jc w:val="both"/>
        <w:rPr>
          <w:rFonts w:ascii="Times New Roman" w:hAnsi="Times New Roman" w:cs="Times New Roman"/>
          <w:b/>
          <w:sz w:val="24"/>
          <w:szCs w:val="24"/>
        </w:rPr>
      </w:pPr>
    </w:p>
    <w:p w:rsidR="00D53405" w:rsidRDefault="00D53405" w:rsidP="005630AF">
      <w:pPr>
        <w:spacing w:after="0" w:line="240" w:lineRule="auto"/>
        <w:jc w:val="both"/>
        <w:rPr>
          <w:rFonts w:ascii="Times New Roman" w:hAnsi="Times New Roman" w:cs="Times New Roman"/>
          <w:b/>
          <w:sz w:val="24"/>
          <w:szCs w:val="24"/>
        </w:rPr>
      </w:pPr>
    </w:p>
    <w:p w:rsidR="00D53405" w:rsidRPr="001E3810" w:rsidRDefault="00D53405" w:rsidP="005630AF">
      <w:p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Оперативна цел 2.2.: Повишаване предлагането на труд чрез насърчаване икономическата активност на населението</w:t>
      </w:r>
    </w:p>
    <w:p w:rsidR="00D53405" w:rsidRDefault="00D53405" w:rsidP="005630AF">
      <w:pPr>
        <w:spacing w:after="0" w:line="240" w:lineRule="auto"/>
        <w:jc w:val="both"/>
        <w:rPr>
          <w:rFonts w:ascii="Times New Roman" w:hAnsi="Times New Roman" w:cs="Times New Roman"/>
          <w:sz w:val="24"/>
          <w:szCs w:val="24"/>
        </w:rPr>
      </w:pPr>
      <w:r w:rsidRPr="001E3810">
        <w:rPr>
          <w:rFonts w:ascii="Times New Roman" w:hAnsi="Times New Roman" w:cs="Times New Roman"/>
          <w:sz w:val="24"/>
          <w:szCs w:val="24"/>
        </w:rPr>
        <w:t>За да се изпълни дългосрочната цел на активната политика на пазара на труда за увеличаване равнището на заетост в условия на неблагоприятни демографски процеси и недостиг от работна сила, през 2024 г. ще се прилагат специфични мерки за активиране на икономически неактивни и безработни лица. За изпълнението на целта за намаляване на дела на младежите, които не са заети и не участват в образование и обучение (NEETs) от Стратегията по заетостта на Република България 2021-2030 г., през 2024 г. ще продължат да работят ромските и младежките медиатори. За обхващането на повече икономически неактивни лица ще се прилагат и разпоредбите от ЗНЗ за обмен на информация между институциите, отговорни за администрирането на данни, свързани с икономически неактивните лица, за осъществяване на тяхното идентифициране и достигане и др. Дейностите за насърчаване на активно поведение на пазара на труда, финансирани със средства от държавния бюджет за активна политика на пазара на труда ще бъдат подкрепени и с изпълнението на проекти, финансирани по ПРЧР 2021-2027 г. За достигане до младежите NEETs и активирането им ще се предприемат съответни мерки - ще се прилагат и дигитални инструменти, ще се използват социалните и електронните медии. Необходимо е да се насочи вниманието и към сегмента от неактивни, които полагат грижи за болни членове на семейството или възрастни хора. Те се нуждаят от подходящи мерки за заетост като Програма ALMA („Поставяй си цели, учи се, владей се, постигай”), чрез която ще се предложи на младите NEETs временен професионален опит в друга държава-членка от ЕС.</w:t>
      </w: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Default="00D53405" w:rsidP="005630AF">
      <w:pPr>
        <w:spacing w:after="0" w:line="240" w:lineRule="auto"/>
        <w:jc w:val="both"/>
        <w:rPr>
          <w:rFonts w:ascii="Times New Roman" w:hAnsi="Times New Roman" w:cs="Times New Roman"/>
          <w:sz w:val="24"/>
          <w:szCs w:val="24"/>
        </w:rPr>
      </w:pPr>
    </w:p>
    <w:p w:rsidR="00D53405" w:rsidRPr="001E3810" w:rsidRDefault="00D53405" w:rsidP="005630AF">
      <w:pPr>
        <w:spacing w:after="0" w:line="240" w:lineRule="auto"/>
        <w:jc w:val="both"/>
        <w:rPr>
          <w:rFonts w:ascii="Times New Roman" w:hAnsi="Times New Roman" w:cs="Times New Roman"/>
          <w:sz w:val="24"/>
          <w:szCs w:val="24"/>
        </w:rPr>
      </w:pPr>
    </w:p>
    <w:tbl>
      <w:tblPr>
        <w:tblW w:w="1502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1559"/>
        <w:gridCol w:w="1821"/>
        <w:gridCol w:w="2138"/>
        <w:gridCol w:w="1973"/>
        <w:gridCol w:w="1701"/>
        <w:gridCol w:w="1134"/>
        <w:gridCol w:w="1865"/>
      </w:tblGrid>
      <w:tr w:rsidR="00D53405" w:rsidRPr="001E3810" w:rsidTr="002C6596">
        <w:trPr>
          <w:trHeight w:val="671"/>
        </w:trPr>
        <w:tc>
          <w:tcPr>
            <w:tcW w:w="2836"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sz w:val="24"/>
                <w:szCs w:val="24"/>
              </w:rPr>
              <w:br/>
            </w:r>
            <w:r w:rsidRPr="002C6596">
              <w:rPr>
                <w:rFonts w:ascii="Times New Roman" w:hAnsi="Times New Roman" w:cs="Times New Roman"/>
                <w:b/>
              </w:rPr>
              <w:t>Дейности</w:t>
            </w:r>
          </w:p>
        </w:tc>
        <w:tc>
          <w:tcPr>
            <w:tcW w:w="1559"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Бюджет за 2024 г.</w:t>
            </w:r>
          </w:p>
        </w:tc>
        <w:tc>
          <w:tcPr>
            <w:tcW w:w="1821" w:type="dxa"/>
            <w:vMerge w:val="restart"/>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Срок за реализация</w:t>
            </w:r>
          </w:p>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(месец и година)</w:t>
            </w:r>
          </w:p>
        </w:tc>
        <w:tc>
          <w:tcPr>
            <w:tcW w:w="2138" w:type="dxa"/>
            <w:vMerge w:val="restart"/>
            <w:shd w:val="clear" w:color="auto" w:fill="F2F2F2"/>
            <w:vAlign w:val="center"/>
          </w:tcPr>
          <w:p w:rsidR="00D53405" w:rsidRPr="002C6596" w:rsidRDefault="00D53405" w:rsidP="002C6596">
            <w:pPr>
              <w:spacing w:after="0" w:line="240" w:lineRule="auto"/>
              <w:ind w:right="-94"/>
              <w:jc w:val="center"/>
              <w:rPr>
                <w:rFonts w:ascii="Times New Roman" w:hAnsi="Times New Roman" w:cs="Times New Roman"/>
                <w:b/>
              </w:rPr>
            </w:pPr>
            <w:r w:rsidRPr="002C6596">
              <w:rPr>
                <w:rFonts w:ascii="Times New Roman" w:hAnsi="Times New Roman" w:cs="Times New Roman"/>
                <w:b/>
              </w:rPr>
              <w:t>Очаквани резултати за 2024 г.</w:t>
            </w:r>
          </w:p>
        </w:tc>
        <w:tc>
          <w:tcPr>
            <w:tcW w:w="3674" w:type="dxa"/>
            <w:gridSpan w:val="2"/>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Индикатори за изпълнение</w:t>
            </w:r>
          </w:p>
        </w:tc>
        <w:tc>
          <w:tcPr>
            <w:tcW w:w="2999" w:type="dxa"/>
            <w:gridSpan w:val="2"/>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Отговорни институции</w:t>
            </w:r>
          </w:p>
        </w:tc>
      </w:tr>
      <w:tr w:rsidR="00D53405" w:rsidRPr="001E3810" w:rsidTr="002C6596">
        <w:tc>
          <w:tcPr>
            <w:tcW w:w="2836"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559"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821"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2138" w:type="dxa"/>
            <w:vMerge/>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p>
        </w:tc>
        <w:tc>
          <w:tcPr>
            <w:tcW w:w="1973"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Текущ към края на 2023 г.</w:t>
            </w:r>
          </w:p>
        </w:tc>
        <w:tc>
          <w:tcPr>
            <w:tcW w:w="1701"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Цели за 2024 г.</w:t>
            </w:r>
          </w:p>
        </w:tc>
        <w:tc>
          <w:tcPr>
            <w:tcW w:w="1134"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Водеща</w:t>
            </w:r>
          </w:p>
        </w:tc>
        <w:tc>
          <w:tcPr>
            <w:tcW w:w="1865" w:type="dxa"/>
            <w:shd w:val="clear" w:color="auto" w:fill="F2F2F2"/>
            <w:vAlign w:val="center"/>
          </w:tcPr>
          <w:p w:rsidR="00D53405" w:rsidRPr="002C6596" w:rsidRDefault="00D53405" w:rsidP="002C6596">
            <w:pPr>
              <w:spacing w:after="0" w:line="240" w:lineRule="auto"/>
              <w:jc w:val="center"/>
              <w:rPr>
                <w:rFonts w:ascii="Times New Roman" w:hAnsi="Times New Roman" w:cs="Times New Roman"/>
                <w:b/>
              </w:rPr>
            </w:pPr>
            <w:r w:rsidRPr="002C6596">
              <w:rPr>
                <w:rFonts w:ascii="Times New Roman" w:hAnsi="Times New Roman" w:cs="Times New Roman"/>
                <w:b/>
              </w:rPr>
              <w:t>Партньор</w:t>
            </w:r>
          </w:p>
        </w:tc>
      </w:tr>
      <w:tr w:rsidR="00D53405" w:rsidRPr="001E3810" w:rsidTr="002C6596">
        <w:trPr>
          <w:trHeight w:val="3146"/>
        </w:trPr>
        <w:tc>
          <w:tcPr>
            <w:tcW w:w="283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2.2.1. Интегриране на пазара на труда на икономически неактивните лица в трудоспособна възраст, вкл. на младежи, които не са заети и не участват в образование и обучение (Национална програма „Активиране на неактивни лица“)</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5 797 380 лв.</w:t>
            </w:r>
          </w:p>
        </w:tc>
        <w:tc>
          <w:tcPr>
            <w:tcW w:w="1821"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декември 2025 г.</w:t>
            </w:r>
          </w:p>
        </w:tc>
        <w:tc>
          <w:tcPr>
            <w:tcW w:w="2138"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Осигурена заетост към дирекции „Бюро по труда” и общински администрации </w:t>
            </w:r>
          </w:p>
        </w:tc>
        <w:tc>
          <w:tcPr>
            <w:tcW w:w="19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Осигурена заетост на 88 ромски, 84 младежки медиатори, 24 психолози, 24 кейс-мениджъри и 163 организатори на обществено полезен труд.</w:t>
            </w:r>
          </w:p>
        </w:tc>
        <w:tc>
          <w:tcPr>
            <w:tcW w:w="1701"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Осигурена заетост на 104 ромски медиатори, 82 младежки медиатори, 27 психолози, 24 кейс-мениджъри и 163 организатори на общественополезен труд Активирани ср. месечно 1 200 икономически неактивни лица</w:t>
            </w:r>
          </w:p>
        </w:tc>
        <w:tc>
          <w:tcPr>
            <w:tcW w:w="1134"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МТСП, АЗ</w:t>
            </w:r>
          </w:p>
        </w:tc>
        <w:tc>
          <w:tcPr>
            <w:tcW w:w="1865"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lang w:eastAsia="bg-BG"/>
              </w:rPr>
              <w:t>Общини, НПО и др.</w:t>
            </w:r>
          </w:p>
        </w:tc>
      </w:tr>
      <w:tr w:rsidR="00D53405" w:rsidRPr="001E3810" w:rsidTr="002C6596">
        <w:trPr>
          <w:trHeight w:val="2825"/>
        </w:trPr>
        <w:tc>
          <w:tcPr>
            <w:tcW w:w="2836" w:type="dxa"/>
          </w:tcPr>
          <w:p w:rsidR="00D53405" w:rsidRPr="002C6596" w:rsidRDefault="00D53405" w:rsidP="002C6596">
            <w:pPr>
              <w:tabs>
                <w:tab w:val="left" w:pos="453"/>
                <w:tab w:val="left" w:pos="595"/>
              </w:tabs>
              <w:spacing w:after="0" w:line="240" w:lineRule="auto"/>
              <w:jc w:val="both"/>
              <w:rPr>
                <w:rFonts w:ascii="Times New Roman" w:hAnsi="Times New Roman" w:cs="Times New Roman"/>
              </w:rPr>
            </w:pPr>
            <w:r w:rsidRPr="002C6596">
              <w:rPr>
                <w:rFonts w:ascii="Times New Roman" w:hAnsi="Times New Roman" w:cs="Times New Roman"/>
              </w:rPr>
              <w:t>2.2.2. Инициативи за активиране на икономически неактивни и безработни лица (трудови борси, мобилни бюра по труда, дни на работодателя, информационни дни за безработните лица)</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100 000 лв.</w:t>
            </w:r>
          </w:p>
        </w:tc>
        <w:tc>
          <w:tcPr>
            <w:tcW w:w="1821"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 xml:space="preserve">декември 2024 г. </w:t>
            </w:r>
          </w:p>
        </w:tc>
        <w:tc>
          <w:tcPr>
            <w:tcW w:w="2138"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Интегрирани на пазара на труда икономически неактивни лица в трудоспособна възраст, вкл. на младежи, които не са заети и не участват в образование и обучение</w:t>
            </w:r>
          </w:p>
        </w:tc>
        <w:tc>
          <w:tcPr>
            <w:tcW w:w="19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Активирани ср. месечно 3 684 икономически неактивни лица</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Започнали работа ср. месечно 12 892 лица в резултат на проведени инициативи</w:t>
            </w:r>
          </w:p>
        </w:tc>
        <w:tc>
          <w:tcPr>
            <w:tcW w:w="1701"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Активирани ср. месечно 3 530 икономически неактивни лица</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Започнали работа ср. месечно 12 750 лица в резултат на проведени инициативи</w:t>
            </w:r>
          </w:p>
        </w:tc>
        <w:tc>
          <w:tcPr>
            <w:tcW w:w="1134"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АЗ</w:t>
            </w:r>
          </w:p>
        </w:tc>
        <w:tc>
          <w:tcPr>
            <w:tcW w:w="1865"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Общини, НПО, работодатели</w:t>
            </w:r>
          </w:p>
        </w:tc>
      </w:tr>
      <w:tr w:rsidR="00D53405" w:rsidRPr="001E3810" w:rsidTr="002C6596">
        <w:trPr>
          <w:trHeight w:val="2259"/>
        </w:trPr>
        <w:tc>
          <w:tcPr>
            <w:tcW w:w="283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2.2.3. Повишаване предлагането на труд посредством активиране на неактивни лица в трудоспособна възраст (Компонент 1 „Активиране“ по процедура „Започвам работа“)</w:t>
            </w:r>
          </w:p>
        </w:tc>
        <w:tc>
          <w:tcPr>
            <w:tcW w:w="1559"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6 800 000 лв. индикативен бюджет за 2024 г. –</w:t>
            </w: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П РЧР.</w:t>
            </w:r>
          </w:p>
        </w:tc>
        <w:tc>
          <w:tcPr>
            <w:tcW w:w="1821"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2026 г.</w:t>
            </w:r>
          </w:p>
        </w:tc>
        <w:tc>
          <w:tcPr>
            <w:tcW w:w="2138"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Идентифициране, информиране и мотивиране за активно поведение на пазара на труда на икономически неактивни лица;</w:t>
            </w:r>
          </w:p>
        </w:tc>
        <w:tc>
          <w:tcPr>
            <w:tcW w:w="1973"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Неактивни лица, включени в проекта“ – 6 130 лица</w:t>
            </w:r>
          </w:p>
          <w:p w:rsidR="00D53405" w:rsidRPr="002C6596" w:rsidRDefault="00D53405" w:rsidP="002C6596">
            <w:pPr>
              <w:spacing w:after="0" w:line="240" w:lineRule="auto"/>
              <w:rPr>
                <w:rFonts w:ascii="Times New Roman" w:hAnsi="Times New Roman" w:cs="Times New Roman"/>
              </w:rPr>
            </w:pP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„Участници, които при напускане на операцията са започнали да търсят работа“ – 5 543 лица</w:t>
            </w:r>
          </w:p>
        </w:tc>
        <w:tc>
          <w:tcPr>
            <w:tcW w:w="1701"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„Неактивни лица, включени в проекта“ - 16 623 лица</w:t>
            </w:r>
          </w:p>
          <w:p w:rsidR="00D53405" w:rsidRPr="002C6596" w:rsidRDefault="00D53405" w:rsidP="002C6596">
            <w:pPr>
              <w:spacing w:after="0" w:line="240" w:lineRule="auto"/>
              <w:rPr>
                <w:rFonts w:ascii="Times New Roman" w:hAnsi="Times New Roman" w:cs="Times New Roman"/>
              </w:rPr>
            </w:pP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„Участници, които при напускане на операцията са започнали да търсят работа“ - 7 485 лица</w:t>
            </w:r>
          </w:p>
        </w:tc>
        <w:tc>
          <w:tcPr>
            <w:tcW w:w="1134"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АЗ</w:t>
            </w:r>
          </w:p>
        </w:tc>
        <w:tc>
          <w:tcPr>
            <w:tcW w:w="1865"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Мерки и дейности, реализирани от АЗ</w:t>
            </w:r>
          </w:p>
        </w:tc>
      </w:tr>
      <w:tr w:rsidR="00D53405" w:rsidRPr="001E3810" w:rsidTr="002C6596">
        <w:trPr>
          <w:trHeight w:val="3461"/>
        </w:trPr>
        <w:tc>
          <w:tcPr>
            <w:tcW w:w="2836"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2.2.4. Повишаване предлагането на труд и участието в заетост на родители, посредством подкрепа в грижата за децата (проект „Родители в заетост“)</w:t>
            </w:r>
          </w:p>
        </w:tc>
        <w:tc>
          <w:tcPr>
            <w:tcW w:w="1559" w:type="dxa"/>
          </w:tcPr>
          <w:p w:rsidR="00D53405" w:rsidRPr="002C6596" w:rsidRDefault="00D53405" w:rsidP="002C6596">
            <w:pPr>
              <w:spacing w:after="0" w:line="240" w:lineRule="auto"/>
              <w:ind w:right="-88"/>
              <w:rPr>
                <w:rFonts w:ascii="Times New Roman" w:hAnsi="Times New Roman" w:cs="Times New Roman"/>
              </w:rPr>
            </w:pPr>
            <w:r w:rsidRPr="002C6596">
              <w:rPr>
                <w:rFonts w:ascii="Times New Roman" w:hAnsi="Times New Roman" w:cs="Times New Roman"/>
                <w:lang w:val="en-US"/>
              </w:rPr>
              <w:t xml:space="preserve">13 </w:t>
            </w:r>
            <w:r w:rsidRPr="002C6596">
              <w:rPr>
                <w:rFonts w:ascii="Times New Roman" w:hAnsi="Times New Roman" w:cs="Times New Roman"/>
              </w:rPr>
              <w:t>000 000 лв. индикативен бюджет за 2024 г. –П РЧР.</w:t>
            </w:r>
          </w:p>
        </w:tc>
        <w:tc>
          <w:tcPr>
            <w:tcW w:w="1821"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декември 2026 г.</w:t>
            </w:r>
          </w:p>
        </w:tc>
        <w:tc>
          <w:tcPr>
            <w:tcW w:w="2138" w:type="dxa"/>
          </w:tcPr>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Осигурен по-добър баланс между професионален и личен живот на самотни, многодетни родители и на тези с малки деца чрез осигурени възможности за полагане на грижи за отглеждане на деца и чрез услуги за улесняване достъпа до заетост.</w:t>
            </w:r>
          </w:p>
        </w:tc>
        <w:tc>
          <w:tcPr>
            <w:tcW w:w="1973" w:type="dxa"/>
          </w:tcPr>
          <w:p w:rsidR="00D53405" w:rsidRPr="002C6596" w:rsidRDefault="00D53405" w:rsidP="002C6596">
            <w:pPr>
              <w:spacing w:after="0" w:line="240" w:lineRule="auto"/>
            </w:pPr>
            <w:r w:rsidRPr="002C6596">
              <w:rPr>
                <w:rFonts w:ascii="Times New Roman" w:hAnsi="Times New Roman" w:cs="Times New Roman"/>
              </w:rPr>
              <w:t>Общ брой на участниците (Регион в преход) – 262 </w:t>
            </w:r>
          </w:p>
          <w:p w:rsidR="00D53405" w:rsidRPr="002C6596" w:rsidRDefault="00D53405" w:rsidP="002C6596">
            <w:pPr>
              <w:spacing w:after="0" w:line="240" w:lineRule="auto"/>
              <w:rPr>
                <w:rFonts w:ascii="Times New Roman" w:hAnsi="Times New Roman" w:cs="Times New Roman"/>
              </w:rPr>
            </w:pPr>
          </w:p>
          <w:p w:rsidR="00D53405" w:rsidRPr="002C6596" w:rsidRDefault="00D53405" w:rsidP="002C6596">
            <w:pPr>
              <w:spacing w:after="0" w:line="240" w:lineRule="auto"/>
            </w:pPr>
            <w:r w:rsidRPr="002C6596">
              <w:rPr>
                <w:rFonts w:ascii="Times New Roman" w:hAnsi="Times New Roman" w:cs="Times New Roman"/>
              </w:rPr>
              <w:t>Общ брой на участниците</w:t>
            </w:r>
          </w:p>
          <w:p w:rsidR="00D53405" w:rsidRPr="001E3810" w:rsidDel="006313F7" w:rsidRDefault="00D53405" w:rsidP="002C6596">
            <w:pPr>
              <w:spacing w:after="0" w:line="240" w:lineRule="auto"/>
            </w:pPr>
            <w:r w:rsidRPr="002C6596">
              <w:rPr>
                <w:rFonts w:ascii="Times New Roman" w:hAnsi="Times New Roman" w:cs="Times New Roman"/>
              </w:rPr>
              <w:t>(По-слабо развит регион) - 717</w:t>
            </w:r>
          </w:p>
        </w:tc>
        <w:tc>
          <w:tcPr>
            <w:tcW w:w="1701" w:type="dxa"/>
          </w:tcPr>
          <w:p w:rsidR="00D53405" w:rsidRPr="002C6596" w:rsidRDefault="00D53405" w:rsidP="002C6596">
            <w:pPr>
              <w:spacing w:after="0" w:line="240" w:lineRule="auto"/>
              <w:rPr>
                <w:rFonts w:ascii="Times New Roman" w:hAnsi="Times New Roman" w:cs="Times New Roman"/>
                <w:lang w:val="en-US"/>
              </w:rPr>
            </w:pPr>
            <w:r w:rsidRPr="002C6596">
              <w:rPr>
                <w:rFonts w:ascii="Times New Roman" w:hAnsi="Times New Roman" w:cs="Times New Roman"/>
              </w:rPr>
              <w:t xml:space="preserve">Общ брой на участниците (Регион в преход) – </w:t>
            </w:r>
            <w:r w:rsidRPr="002C6596">
              <w:rPr>
                <w:rFonts w:ascii="Times New Roman" w:hAnsi="Times New Roman" w:cs="Times New Roman"/>
                <w:lang w:val="en-US"/>
              </w:rPr>
              <w:t>100</w:t>
            </w:r>
          </w:p>
          <w:p w:rsidR="00D53405" w:rsidRPr="002C6596" w:rsidRDefault="00D53405" w:rsidP="002C6596">
            <w:pPr>
              <w:spacing w:after="0" w:line="240" w:lineRule="auto"/>
              <w:rPr>
                <w:rFonts w:ascii="Times New Roman" w:hAnsi="Times New Roman" w:cs="Times New Roman"/>
              </w:rPr>
            </w:pPr>
          </w:p>
          <w:p w:rsidR="00D53405" w:rsidRPr="002C6596" w:rsidRDefault="00D53405" w:rsidP="002C6596">
            <w:pPr>
              <w:spacing w:after="0" w:line="240" w:lineRule="auto"/>
              <w:rPr>
                <w:rFonts w:ascii="Times New Roman" w:hAnsi="Times New Roman" w:cs="Times New Roman"/>
              </w:rPr>
            </w:pPr>
            <w:r w:rsidRPr="002C6596">
              <w:rPr>
                <w:rFonts w:ascii="Times New Roman" w:hAnsi="Times New Roman" w:cs="Times New Roman"/>
              </w:rPr>
              <w:t>Общ брой на участниците</w:t>
            </w:r>
          </w:p>
          <w:p w:rsidR="00D53405" w:rsidRPr="002C6596" w:rsidRDefault="00D53405" w:rsidP="002C6596">
            <w:pPr>
              <w:spacing w:after="0" w:line="240" w:lineRule="auto"/>
              <w:rPr>
                <w:rFonts w:ascii="Times New Roman" w:hAnsi="Times New Roman" w:cs="Times New Roman"/>
                <w:lang w:val="en-US"/>
              </w:rPr>
            </w:pPr>
            <w:r w:rsidRPr="002C6596">
              <w:rPr>
                <w:rFonts w:ascii="Times New Roman" w:hAnsi="Times New Roman" w:cs="Times New Roman"/>
              </w:rPr>
              <w:t xml:space="preserve">(По-слабо развит регион) – </w:t>
            </w:r>
            <w:r w:rsidRPr="002C6596">
              <w:rPr>
                <w:rFonts w:ascii="Times New Roman" w:hAnsi="Times New Roman" w:cs="Times New Roman"/>
                <w:lang w:val="en-US"/>
              </w:rPr>
              <w:t xml:space="preserve"> 788</w:t>
            </w:r>
          </w:p>
        </w:tc>
        <w:tc>
          <w:tcPr>
            <w:tcW w:w="1134" w:type="dxa"/>
          </w:tcPr>
          <w:p w:rsidR="00D53405" w:rsidRPr="002C6596" w:rsidRDefault="00D53405" w:rsidP="002C6596">
            <w:pPr>
              <w:spacing w:after="0" w:line="240" w:lineRule="auto"/>
              <w:jc w:val="center"/>
              <w:rPr>
                <w:rFonts w:ascii="Times New Roman" w:hAnsi="Times New Roman" w:cs="Times New Roman"/>
              </w:rPr>
            </w:pPr>
            <w:r w:rsidRPr="002C6596">
              <w:rPr>
                <w:rFonts w:ascii="Times New Roman" w:hAnsi="Times New Roman" w:cs="Times New Roman"/>
              </w:rPr>
              <w:t>АЗ</w:t>
            </w:r>
          </w:p>
        </w:tc>
        <w:tc>
          <w:tcPr>
            <w:tcW w:w="1865" w:type="dxa"/>
          </w:tcPr>
          <w:p w:rsidR="00D53405" w:rsidRPr="002C6596" w:rsidRDefault="00D53405" w:rsidP="002C6596">
            <w:pPr>
              <w:spacing w:after="0" w:line="240" w:lineRule="auto"/>
              <w:jc w:val="center"/>
              <w:rPr>
                <w:rFonts w:ascii="Times New Roman" w:hAnsi="Times New Roman" w:cs="Times New Roman"/>
              </w:rPr>
            </w:pPr>
          </w:p>
        </w:tc>
      </w:tr>
    </w:tbl>
    <w:p w:rsidR="00D53405" w:rsidRPr="001E3810" w:rsidRDefault="00D53405">
      <w:pPr>
        <w:spacing w:after="0" w:line="240" w:lineRule="auto"/>
        <w:jc w:val="both"/>
        <w:rPr>
          <w:rFonts w:ascii="Times New Roman" w:hAnsi="Times New Roman" w:cs="Times New Roman"/>
          <w:b/>
          <w:sz w:val="24"/>
          <w:szCs w:val="24"/>
        </w:rPr>
        <w:sectPr w:rsidR="00D53405" w:rsidRPr="001E3810" w:rsidSect="00E5248F">
          <w:pgSz w:w="15840" w:h="12240" w:orient="landscape"/>
          <w:pgMar w:top="1276" w:right="1440" w:bottom="1185" w:left="1440" w:header="709" w:footer="215" w:gutter="0"/>
          <w:cols w:space="708"/>
          <w:docGrid w:linePitch="360"/>
        </w:sectPr>
      </w:pPr>
      <w:bookmarkStart w:id="0" w:name="_GoBack"/>
      <w:bookmarkEnd w:id="0"/>
    </w:p>
    <w:p w:rsidR="00D53405" w:rsidRPr="001E3810" w:rsidRDefault="00D53405" w:rsidP="00242D52">
      <w:p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VI. ИНСТИТУЦИИТЕ НА ПАЗАРА НА ТРУДА И РОЛЯТА НА СОЦИАЛНИЯ ДИАЛОГ</w:t>
      </w:r>
    </w:p>
    <w:p w:rsidR="00D53405" w:rsidRPr="001E3810" w:rsidRDefault="00D53405" w:rsidP="00242D52">
      <w:pPr>
        <w:spacing w:after="0" w:line="240" w:lineRule="auto"/>
        <w:jc w:val="both"/>
        <w:rPr>
          <w:rFonts w:ascii="Times New Roman" w:hAnsi="Times New Roman" w:cs="Times New Roman"/>
          <w:b/>
          <w:sz w:val="24"/>
          <w:szCs w:val="24"/>
        </w:rPr>
      </w:pPr>
    </w:p>
    <w:p w:rsidR="00D53405" w:rsidRPr="001E3810" w:rsidRDefault="00D53405" w:rsidP="0083545B">
      <w:pPr>
        <w:spacing w:after="0" w:line="240" w:lineRule="auto"/>
        <w:ind w:firstLine="709"/>
        <w:jc w:val="both"/>
        <w:rPr>
          <w:rFonts w:ascii="Times New Roman" w:hAnsi="Times New Roman" w:cs="Times New Roman"/>
          <w:b/>
          <w:sz w:val="24"/>
          <w:szCs w:val="24"/>
        </w:rPr>
      </w:pPr>
      <w:r w:rsidRPr="001E3810">
        <w:rPr>
          <w:rFonts w:ascii="Times New Roman" w:hAnsi="Times New Roman" w:cs="Times New Roman"/>
          <w:b/>
          <w:sz w:val="24"/>
          <w:szCs w:val="24"/>
        </w:rPr>
        <w:t>Агенцията по заетостта</w:t>
      </w:r>
      <w:r w:rsidRPr="001E3810">
        <w:rPr>
          <w:rFonts w:ascii="Times New Roman" w:hAnsi="Times New Roman" w:cs="Times New Roman"/>
          <w:sz w:val="24"/>
          <w:szCs w:val="24"/>
        </w:rPr>
        <w:t xml:space="preserve"> (АЗ) като обществен посредник на пазара на труда ще продължи ефективно да стимулира преходите в заетост с цел делът на преходите в заетост да се увеличава, вкл. чрез качествено обслужване на клиентите, ще проучва и анализира трудовите ресурси в страната.</w:t>
      </w:r>
    </w:p>
    <w:p w:rsidR="00D53405" w:rsidRPr="001E3810" w:rsidRDefault="00D53405" w:rsidP="00297543">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 xml:space="preserve">Ще продължи прилагането на активиращи действия, съобразени с индивидуалните характеристики и потребности на търсещите работа лица, вкл. хората с увреждания и българите, завърнали се от чужбина. Ще насърчава заетостта на икономически неактивни лица с оглед социалното им включване. </w:t>
      </w:r>
    </w:p>
    <w:p w:rsidR="00D53405" w:rsidRPr="001E3810" w:rsidRDefault="00D53405" w:rsidP="00297543">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Ще продължи разширяването на обхвата на предоставяните услуги към отдалечените райони на страната посредством мобилни екипи и изнесени работни места. Ще продължи провеждането на трудови борси.</w:t>
      </w:r>
    </w:p>
    <w:p w:rsidR="00D53405" w:rsidRPr="001E3810" w:rsidRDefault="00D53405" w:rsidP="00297543">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Агенцията по заетостта ще продължи да осигурява работна сила за сектори и икономически дейности със значителен недостиг на кадри, чрез използване на възможностите за свободно движение на работници в рамките на ЕС и привличане на таланти от трети страни. Ще продължат и усилията за трудова интеграция на разселените лица от Украйна, регистрирани в бюрата по труда.</w:t>
      </w:r>
    </w:p>
    <w:p w:rsidR="00D53405" w:rsidRPr="001E3810" w:rsidRDefault="00D53405" w:rsidP="00297543">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Ще продължават действията за подкрепа на български граждани да работят в чужбина в изпълнение на международни договори и споразумения за заетост, вкл. чрез мрежата EURES и също така ще се прилагат адекватни и своевременни мерки, насочени към завръщане на намиращите се зад граница български граждани.</w:t>
      </w:r>
    </w:p>
    <w:p w:rsidR="00D53405" w:rsidRPr="001E3810" w:rsidRDefault="00D53405" w:rsidP="00297543">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 xml:space="preserve">Подход за интегриране на пазара на труда ще продължи да бъде насърчаването на предприемачеството, вкл. чрез развиване на предприемаческа култура. </w:t>
      </w:r>
    </w:p>
    <w:p w:rsidR="00D53405" w:rsidRPr="001E3810" w:rsidRDefault="00D53405" w:rsidP="00297543">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Ще се насърчава ученето през целия живот и осигуряването на достъп на всички лица до възможности за учене във всеки един етап и преход в кариерата и в живота. Агенцията по заетостта е ключов участник, подкрепящ повишаването и/или придобиването на нова квалификация или умения от работната сила, вкл. в контекста на зеления и цифровия преход.</w:t>
      </w:r>
    </w:p>
    <w:p w:rsidR="00D53405" w:rsidRPr="001E3810" w:rsidRDefault="00D53405" w:rsidP="00297543">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За да бъде Агенцията по заетостта търсен обществен посредник на пазара на труда ще продължат усилията за поддържане и надграждане на администрация с компетентни, адаптивни и мотивирани служители и модерна, дигитална, интелигентна и сигурна среда за обслужване на клиентите.</w:t>
      </w:r>
    </w:p>
    <w:p w:rsidR="00D53405" w:rsidRPr="001E3810" w:rsidRDefault="00D53405" w:rsidP="00242D52">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Продължава усъвършенстването на наличните електронни услуги, както и стъпките за създаването на нови такива. Чрез реализиране на проекта за модернизиране на АЗ, включен в НПВУ, ще се подкрепят редица дейности, които ще реформират взаимодействието с други институции в цифровата област, ще се усъвършенства информационната система на АЗ, ще се разработят услуги с прилагане на изкуствен интелект и др.</w:t>
      </w:r>
    </w:p>
    <w:p w:rsidR="00D53405" w:rsidRPr="001E3810" w:rsidRDefault="00D53405" w:rsidP="00242D52">
      <w:pPr>
        <w:spacing w:after="0" w:line="240" w:lineRule="auto"/>
        <w:jc w:val="both"/>
        <w:rPr>
          <w:rFonts w:ascii="Times New Roman" w:hAnsi="Times New Roman" w:cs="Times New Roman"/>
          <w:sz w:val="24"/>
          <w:szCs w:val="24"/>
        </w:rPr>
      </w:pPr>
    </w:p>
    <w:p w:rsidR="00D53405" w:rsidRPr="001E3810" w:rsidRDefault="00D53405" w:rsidP="003025ED">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 xml:space="preserve">Дейността на </w:t>
      </w:r>
      <w:r w:rsidRPr="001E3810">
        <w:rPr>
          <w:rFonts w:ascii="Times New Roman" w:hAnsi="Times New Roman" w:cs="Times New Roman"/>
          <w:b/>
          <w:sz w:val="24"/>
          <w:szCs w:val="24"/>
        </w:rPr>
        <w:t>Изпълнителна агенция „Главна инспекция по труда“</w:t>
      </w:r>
      <w:r w:rsidRPr="001E3810">
        <w:rPr>
          <w:rFonts w:ascii="Times New Roman" w:hAnsi="Times New Roman" w:cs="Times New Roman"/>
          <w:sz w:val="24"/>
          <w:szCs w:val="24"/>
        </w:rPr>
        <w:t xml:space="preserve"> (ИА ГИТ) и през 2024 г. се основава на превенция и публичност при инспектирането на труда, сътрудничество с институции, със социални партньори и с неправителствени организации. Традиционно контролът на ИА ГИТ е насочен към законосъобразното полагане на  труд, справяне с недекларираната заетост и осигуряване на здравословни и безопасни условия на труд. Намаляването на „сивата“ икономика и защитата на работещите от опасностите за здравето и безопасността на работното място са ключови елементи за постигане на устойчиви и достойни условия на труд за всички работещи. Приоритетите на контролната дейност на ИА ГИТ ще продължат да са актуални и през 2024г. в контекста на управление на промените в новия свят на труда, предизвикани от зелените, цифрови и демографски преходи и новите организационни форми на труда. Основните цели, в дейността на ИА ГИТ през настоящата година са свързани с:</w:t>
      </w:r>
    </w:p>
    <w:p w:rsidR="00D53405" w:rsidRPr="001E3810" w:rsidRDefault="00D53405" w:rsidP="003025ED">
      <w:pPr>
        <w:pStyle w:val="ListParagraph"/>
        <w:numPr>
          <w:ilvl w:val="0"/>
          <w:numId w:val="22"/>
        </w:numPr>
        <w:tabs>
          <w:tab w:val="left" w:pos="1080"/>
        </w:tabs>
        <w:spacing w:after="0" w:line="240" w:lineRule="auto"/>
        <w:ind w:left="0" w:firstLine="720"/>
        <w:jc w:val="both"/>
        <w:rPr>
          <w:rFonts w:ascii="Times New Roman" w:hAnsi="Times New Roman" w:cs="Times New Roman"/>
          <w:sz w:val="24"/>
          <w:szCs w:val="24"/>
        </w:rPr>
      </w:pPr>
      <w:r w:rsidRPr="001E3810">
        <w:rPr>
          <w:rFonts w:ascii="Times New Roman" w:hAnsi="Times New Roman" w:cs="Times New Roman"/>
          <w:sz w:val="24"/>
          <w:szCs w:val="24"/>
        </w:rPr>
        <w:t>Осъществяване на ефективен контрол относно спазване  на законодателството в областта на труда, държавната служба, трудовата мобилност и трудовата миграция и защита на трудовите права на уязвими групи работещи;</w:t>
      </w:r>
    </w:p>
    <w:p w:rsidR="00D53405" w:rsidRPr="001E3810" w:rsidRDefault="00D53405" w:rsidP="003025ED">
      <w:pPr>
        <w:pStyle w:val="ListParagraph"/>
        <w:numPr>
          <w:ilvl w:val="0"/>
          <w:numId w:val="22"/>
        </w:numPr>
        <w:tabs>
          <w:tab w:val="left" w:pos="1080"/>
        </w:tabs>
        <w:spacing w:after="0" w:line="240" w:lineRule="auto"/>
        <w:ind w:left="0" w:firstLine="720"/>
        <w:jc w:val="both"/>
        <w:rPr>
          <w:rFonts w:ascii="Times New Roman" w:hAnsi="Times New Roman" w:cs="Times New Roman"/>
          <w:sz w:val="24"/>
          <w:szCs w:val="24"/>
        </w:rPr>
      </w:pPr>
      <w:r w:rsidRPr="001E3810">
        <w:rPr>
          <w:rFonts w:ascii="Times New Roman" w:hAnsi="Times New Roman" w:cs="Times New Roman"/>
          <w:sz w:val="24"/>
          <w:szCs w:val="24"/>
        </w:rPr>
        <w:t>Повишаване на информираността на заинтересованите страни за ползите от декларирания труд и спазване на изискванията на трудовото законодателство;</w:t>
      </w:r>
    </w:p>
    <w:p w:rsidR="00D53405" w:rsidRPr="001E3810" w:rsidRDefault="00D53405" w:rsidP="003025ED">
      <w:pPr>
        <w:pStyle w:val="ListParagraph"/>
        <w:numPr>
          <w:ilvl w:val="0"/>
          <w:numId w:val="22"/>
        </w:numPr>
        <w:tabs>
          <w:tab w:val="left" w:pos="1080"/>
        </w:tabs>
        <w:spacing w:after="0" w:line="240" w:lineRule="auto"/>
        <w:ind w:left="0" w:firstLine="720"/>
        <w:jc w:val="both"/>
        <w:rPr>
          <w:rFonts w:ascii="Times New Roman" w:hAnsi="Times New Roman" w:cs="Times New Roman"/>
          <w:sz w:val="24"/>
          <w:szCs w:val="24"/>
        </w:rPr>
      </w:pPr>
      <w:r w:rsidRPr="001E3810">
        <w:rPr>
          <w:rFonts w:ascii="Times New Roman" w:hAnsi="Times New Roman" w:cs="Times New Roman"/>
          <w:sz w:val="24"/>
          <w:szCs w:val="24"/>
        </w:rPr>
        <w:t>Повишаване на административния капацитет на Агенцията и квалификацията на служителите както и повишаване на общественото доверие в институцията.</w:t>
      </w:r>
    </w:p>
    <w:p w:rsidR="00D53405" w:rsidRPr="001E3810" w:rsidRDefault="00D53405" w:rsidP="00523A80">
      <w:pPr>
        <w:spacing w:after="0" w:line="240" w:lineRule="auto"/>
        <w:ind w:firstLine="708"/>
        <w:jc w:val="both"/>
        <w:rPr>
          <w:rFonts w:ascii="Times New Roman" w:hAnsi="Times New Roman" w:cs="Times New Roman"/>
          <w:sz w:val="24"/>
          <w:szCs w:val="24"/>
        </w:rPr>
      </w:pPr>
      <w:r w:rsidRPr="001E3810">
        <w:rPr>
          <w:rFonts w:ascii="Times New Roman" w:hAnsi="Times New Roman"/>
          <w:sz w:val="24"/>
          <w:szCs w:val="24"/>
          <w:lang w:eastAsia="bg-BG"/>
        </w:rPr>
        <w:t xml:space="preserve">През 2024 г. регулирането на процесите на пазара на труда ще продължи да се подпомага от </w:t>
      </w:r>
      <w:r w:rsidRPr="001E3810">
        <w:rPr>
          <w:rFonts w:ascii="Times New Roman" w:hAnsi="Times New Roman"/>
          <w:b/>
          <w:sz w:val="24"/>
          <w:szCs w:val="24"/>
          <w:lang w:eastAsia="bg-BG"/>
        </w:rPr>
        <w:t>Националния съвет за насърчаване на заетостта</w:t>
      </w:r>
      <w:r w:rsidRPr="001E3810">
        <w:rPr>
          <w:rFonts w:ascii="Times New Roman" w:hAnsi="Times New Roman"/>
          <w:bCs/>
          <w:sz w:val="24"/>
          <w:szCs w:val="24"/>
          <w:lang w:eastAsia="bg-BG"/>
        </w:rPr>
        <w:t>, който през годините</w:t>
      </w:r>
      <w:r w:rsidRPr="001E3810">
        <w:rPr>
          <w:rFonts w:ascii="Times New Roman" w:hAnsi="Times New Roman"/>
          <w:b/>
          <w:sz w:val="24"/>
          <w:szCs w:val="24"/>
          <w:lang w:eastAsia="bg-BG"/>
        </w:rPr>
        <w:t xml:space="preserve"> </w:t>
      </w:r>
      <w:r w:rsidRPr="001E3810">
        <w:rPr>
          <w:rFonts w:ascii="Times New Roman" w:hAnsi="Times New Roman"/>
          <w:sz w:val="24"/>
          <w:szCs w:val="24"/>
          <w:lang w:eastAsia="bg-BG"/>
        </w:rPr>
        <w:t xml:space="preserve">се утвърди като основен орган за </w:t>
      </w:r>
      <w:r w:rsidRPr="001E3810">
        <w:rPr>
          <w:rFonts w:ascii="Times New Roman" w:hAnsi="Times New Roman"/>
          <w:sz w:val="24"/>
          <w:szCs w:val="24"/>
        </w:rPr>
        <w:t xml:space="preserve">сътрудничество и консултации при разработване на политиката по заетостта. През 2024 г. дейността му ще бъде насочена основно към формулиране на становища по разработени проекти на нормативни актове в областта на пазара на труда, както и схеми, програми и мерки за повишаване знанията, уменията и компетенциите на работната сила, насърчаване и запазване на заетостта. </w:t>
      </w:r>
    </w:p>
    <w:p w:rsidR="00D53405" w:rsidRPr="001E3810" w:rsidRDefault="00D53405" w:rsidP="001616CC">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b/>
          <w:sz w:val="24"/>
          <w:szCs w:val="24"/>
        </w:rPr>
        <w:t>Националният съвет за насърчаване на заетостта и Националният съвет за тристранно сътрудничество</w:t>
      </w:r>
      <w:r w:rsidRPr="001E3810">
        <w:rPr>
          <w:rFonts w:ascii="Times New Roman" w:hAnsi="Times New Roman" w:cs="Times New Roman"/>
          <w:sz w:val="24"/>
          <w:szCs w:val="24"/>
        </w:rPr>
        <w:t xml:space="preserve"> имат водеща роля в процеса на планиране, изпълнение и мониторинг на политиките в областта на заетостта. През годината ще се възобнови и активната дейност на </w:t>
      </w:r>
      <w:r w:rsidRPr="001E3810">
        <w:rPr>
          <w:rFonts w:ascii="Times New Roman" w:hAnsi="Times New Roman" w:cs="Times New Roman"/>
          <w:b/>
          <w:sz w:val="24"/>
          <w:szCs w:val="24"/>
        </w:rPr>
        <w:t>Националния съвет по трудова миграция и трудова мобилност</w:t>
      </w:r>
      <w:r w:rsidRPr="001E3810">
        <w:rPr>
          <w:rFonts w:ascii="Times New Roman" w:hAnsi="Times New Roman" w:cs="Times New Roman"/>
          <w:sz w:val="24"/>
          <w:szCs w:val="24"/>
        </w:rPr>
        <w:t xml:space="preserve"> към министъра на труда и социалната политика, в който участват и представителните организации на работодателите и на работниците и служителите на национално равнище, където ще се обсъждат всички законодателни предложения, стратегически решения и въпроси, касаещи достъпа до пазара на труда за граждани на трети държави.</w:t>
      </w:r>
    </w:p>
    <w:p w:rsidR="00D53405" w:rsidRPr="001E3810" w:rsidRDefault="00D53405" w:rsidP="001616CC">
      <w:pPr>
        <w:spacing w:after="0" w:line="240" w:lineRule="auto"/>
        <w:ind w:firstLine="720"/>
        <w:jc w:val="both"/>
        <w:rPr>
          <w:rFonts w:ascii="Times New Roman" w:hAnsi="Times New Roman" w:cs="Times New Roman"/>
          <w:sz w:val="24"/>
          <w:szCs w:val="24"/>
        </w:rPr>
      </w:pPr>
      <w:r w:rsidRPr="001E3810">
        <w:rPr>
          <w:rFonts w:ascii="Times New Roman" w:hAnsi="Times New Roman" w:cs="Times New Roman"/>
          <w:sz w:val="24"/>
          <w:szCs w:val="24"/>
        </w:rPr>
        <w:t xml:space="preserve">Продължават действията за подобряване сътрудничеството между </w:t>
      </w:r>
      <w:r w:rsidRPr="001E3810">
        <w:rPr>
          <w:rFonts w:ascii="Times New Roman" w:hAnsi="Times New Roman" w:cs="Times New Roman"/>
          <w:b/>
          <w:bCs/>
          <w:sz w:val="24"/>
          <w:szCs w:val="24"/>
        </w:rPr>
        <w:t>териториалните поделения на Агенцията по заетостта</w:t>
      </w:r>
      <w:r w:rsidRPr="001E3810">
        <w:rPr>
          <w:rFonts w:ascii="Times New Roman" w:hAnsi="Times New Roman" w:cs="Times New Roman"/>
          <w:sz w:val="24"/>
          <w:szCs w:val="24"/>
        </w:rPr>
        <w:t xml:space="preserve"> и </w:t>
      </w:r>
      <w:r w:rsidRPr="001E3810">
        <w:rPr>
          <w:rFonts w:ascii="Times New Roman" w:hAnsi="Times New Roman" w:cs="Times New Roman"/>
          <w:b/>
          <w:sz w:val="24"/>
          <w:szCs w:val="24"/>
        </w:rPr>
        <w:t>регионалните структури на социалните партньори и браншовите организации</w:t>
      </w:r>
      <w:r w:rsidRPr="001E3810">
        <w:rPr>
          <w:rFonts w:ascii="Times New Roman" w:hAnsi="Times New Roman" w:cs="Times New Roman"/>
          <w:sz w:val="24"/>
          <w:szCs w:val="24"/>
        </w:rPr>
        <w:t xml:space="preserve">. </w:t>
      </w:r>
    </w:p>
    <w:p w:rsidR="00D53405" w:rsidRPr="001E3810" w:rsidRDefault="00D53405" w:rsidP="001616CC">
      <w:pPr>
        <w:spacing w:after="0" w:line="240" w:lineRule="auto"/>
        <w:ind w:firstLine="720"/>
        <w:jc w:val="both"/>
        <w:rPr>
          <w:rFonts w:ascii="Times New Roman" w:hAnsi="Times New Roman"/>
          <w:sz w:val="24"/>
          <w:szCs w:val="24"/>
        </w:rPr>
      </w:pPr>
      <w:r w:rsidRPr="001E3810">
        <w:rPr>
          <w:rFonts w:ascii="Times New Roman" w:hAnsi="Times New Roman"/>
          <w:sz w:val="24"/>
          <w:szCs w:val="24"/>
        </w:rPr>
        <w:t xml:space="preserve">На регионално и местно равнище, Комисиите по заетостта към областните съвети за развитие и Съветите за сътрудничество към дирекциите „Бюро по труда“ ще продължат дейността си като основни органи за социален диалог и сътрудничество по въпросите на заетостта и качеството на работната сила. </w:t>
      </w:r>
    </w:p>
    <w:p w:rsidR="00D53405" w:rsidRPr="001E3810" w:rsidRDefault="00D53405" w:rsidP="00D70A17">
      <w:pPr>
        <w:spacing w:after="0" w:line="240" w:lineRule="auto"/>
        <w:ind w:firstLine="720"/>
        <w:jc w:val="both"/>
        <w:rPr>
          <w:rFonts w:ascii="Times New Roman" w:hAnsi="Times New Roman"/>
          <w:sz w:val="24"/>
          <w:szCs w:val="24"/>
        </w:rPr>
      </w:pPr>
      <w:r w:rsidRPr="001E3810">
        <w:rPr>
          <w:rFonts w:ascii="Times New Roman" w:hAnsi="Times New Roman"/>
          <w:sz w:val="24"/>
          <w:szCs w:val="24"/>
        </w:rPr>
        <w:t xml:space="preserve">В национален контекст, социалните партньори участват в разработването и прилагането на политиката по заетостта. През 2024 г. ще продължи ефективният социален диалог, сътрудничеството и консултациите на национално, отраслово, браншово, областно и общинско равнище, както и в рамките на консултативните и други съвети към държавни институции. Ще продължи съвместната работа със социалните партньори при изготвянето на законодателни предложения в областта на пазара на труда, усъвършенстване на трудовото законодателство, подобряване на условията на труда, модернизиране на системите на заплащане, ограничаване на нерегламентираната заетост и сивата икономика, ефективното използване на средствата от оперативните програми на ЕС, разработването на подходи за адаптиране на предприятията и наетите лица към промените и преструктурирането на икономиката и пазара на труда. </w:t>
      </w:r>
    </w:p>
    <w:p w:rsidR="00D53405" w:rsidRPr="001E3810" w:rsidRDefault="00D53405" w:rsidP="001616CC">
      <w:pPr>
        <w:spacing w:after="0" w:line="240" w:lineRule="auto"/>
        <w:ind w:firstLine="720"/>
        <w:jc w:val="both"/>
        <w:rPr>
          <w:rFonts w:ascii="Times New Roman" w:hAnsi="Times New Roman" w:cs="Times New Roman"/>
          <w:sz w:val="24"/>
          <w:szCs w:val="24"/>
        </w:rPr>
      </w:pPr>
      <w:r w:rsidRPr="001E3810">
        <w:rPr>
          <w:rFonts w:ascii="Times New Roman" w:hAnsi="Times New Roman"/>
          <w:b/>
          <w:bCs/>
          <w:sz w:val="24"/>
          <w:szCs w:val="24"/>
        </w:rPr>
        <w:t>Социалните партньори</w:t>
      </w:r>
      <w:r w:rsidRPr="001E3810">
        <w:rPr>
          <w:rFonts w:ascii="Times New Roman" w:hAnsi="Times New Roman"/>
          <w:sz w:val="24"/>
          <w:szCs w:val="24"/>
        </w:rPr>
        <w:t xml:space="preserve"> ще продължат да имат важна роля за определяне на потребностите от работна сила по региони, информиране за предстоящо разкриване на нови работни места, популяризиране на възможностите за участие в програми и проекти за заетост и обучение, повишаване на ефективността от програмите и мерките за заетост, ограничаване на недекларираната заетост и др. Съветите за сътрудничество </w:t>
      </w:r>
      <w:r w:rsidRPr="001E3810">
        <w:rPr>
          <w:rFonts w:ascii="Times New Roman" w:hAnsi="Times New Roman" w:cs="Times New Roman"/>
          <w:sz w:val="24"/>
          <w:szCs w:val="24"/>
        </w:rPr>
        <w:t xml:space="preserve">ще се фокусира върху разкриване на потенциала на местната икономика за увеличаване на работните места и намаляване на безработицата в регионите и ще участват активно при извършването на подбор и оценка на работодателите, подали заявки за ползване на мерки по реда на ЗНЗ. </w:t>
      </w:r>
    </w:p>
    <w:p w:rsidR="00D53405" w:rsidRPr="001E3810" w:rsidRDefault="00D53405" w:rsidP="003025ED">
      <w:pPr>
        <w:spacing w:after="0" w:line="240" w:lineRule="auto"/>
        <w:ind w:firstLine="708"/>
        <w:jc w:val="both"/>
        <w:rPr>
          <w:rFonts w:ascii="Times New Roman" w:hAnsi="Times New Roman" w:cs="Times New Roman"/>
          <w:sz w:val="24"/>
          <w:szCs w:val="24"/>
        </w:rPr>
      </w:pPr>
      <w:r w:rsidRPr="001E3810">
        <w:rPr>
          <w:rFonts w:ascii="Times New Roman" w:hAnsi="Times New Roman" w:cs="Times New Roman"/>
          <w:sz w:val="24"/>
          <w:szCs w:val="24"/>
        </w:rPr>
        <w:t xml:space="preserve">Социалният диалог ще продължи и по темите за бъдещето на труда, дигиталната и технологичната трансформация, зеления преход и необходимите мерки за подготовка на работната сила в отговор на новите потребности от знания и умения. </w:t>
      </w:r>
      <w:r w:rsidRPr="001E3810">
        <w:rPr>
          <w:rFonts w:ascii="Times New Roman" w:hAnsi="Times New Roman"/>
          <w:sz w:val="24"/>
          <w:szCs w:val="24"/>
        </w:rPr>
        <w:t xml:space="preserve">Социалните партньори ще участват активно в консултации относно обсъждането на програми и мерки за запазване на заетостта, превенция от съкращения и подпомагане на работодателите и работниците и служителите, пряко засегнати от процесите на преструктуриране на икономиката, дигитализацията и зеления преход. </w:t>
      </w:r>
      <w:r w:rsidRPr="001E3810">
        <w:rPr>
          <w:rFonts w:ascii="Times New Roman" w:hAnsi="Times New Roman" w:cs="Times New Roman"/>
          <w:sz w:val="24"/>
          <w:szCs w:val="24"/>
        </w:rPr>
        <w:t xml:space="preserve">Водеща е ролята им и за осигуряване на безопасни условия на труд, определяне на потребностите от умения на работната сила, оценка на компетентностите, идентифициране по региони на недостиг от квалифицирани кадри, информиране за предстоящо разкриване на нови работни места, контрол върху ефикасността на изразходваните средства, популяризиране на възможностите за участие в проекти и програми, информиране на гражданите за защитата на техните трудови права и др. </w:t>
      </w:r>
    </w:p>
    <w:p w:rsidR="00D53405" w:rsidRPr="001E3810" w:rsidRDefault="00D53405" w:rsidP="00B86A74">
      <w:pPr>
        <w:spacing w:after="0" w:line="240" w:lineRule="auto"/>
        <w:ind w:firstLine="720"/>
        <w:jc w:val="both"/>
        <w:rPr>
          <w:rFonts w:ascii="Times New Roman" w:hAnsi="Times New Roman"/>
          <w:sz w:val="24"/>
          <w:szCs w:val="24"/>
        </w:rPr>
      </w:pPr>
      <w:r w:rsidRPr="001E3810">
        <w:rPr>
          <w:rFonts w:ascii="Times New Roman" w:hAnsi="Times New Roman"/>
          <w:sz w:val="24"/>
          <w:szCs w:val="24"/>
        </w:rPr>
        <w:t xml:space="preserve">В духа на продължаването на добрите практики, национално представителните организации на работодателите и на работниците и служителите ще бъдат ангажирани с изпълнението на проекти за заетост и обучение, включени в НПДЗ-2024г. </w:t>
      </w:r>
    </w:p>
    <w:p w:rsidR="00D53405" w:rsidRPr="001E3810" w:rsidRDefault="00D53405" w:rsidP="001616CC">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Важна роля през 2024 г. социалните партньори ще имат за въвеждането на инструменти и механизми за учене през целия живот като тристранни секторни фондове за квалификация и преквалификация, индивидуални сметки за обучение и др., като за целта ще се възобнови дейността на работната група, ще се разработят съответните концепции и планове за действие и ще се използват възможности за пилотно прилагане със средства от ЕСФ+.</w:t>
      </w:r>
    </w:p>
    <w:p w:rsidR="00D53405" w:rsidRPr="001E3810" w:rsidRDefault="00D53405" w:rsidP="001616CC">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От началото на годината стартира изпълнението на дейностите по операция „Социално партньорство“, която има за цел да насърчи социалният диалог и колективното трудово договаряне чрез съвместните дейности и повишаване капацитета на социалните партньори за разработване на инструменти и политики, за ускоряване на дигиталната и устойчива трансформация и за подготовка и провеждане на реформи за по-добро приспособяване на работниците, предприятията и предприемачите към промените чрез засилване и укрепване на социалния диалог.</w:t>
      </w:r>
    </w:p>
    <w:p w:rsidR="00D53405" w:rsidRPr="001E3810" w:rsidRDefault="00D53405" w:rsidP="001D4B2B">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 xml:space="preserve">Съгласно приетата през 2023 г. инициатива от Европейската комисия за допълнително укрепване и насърчаване на социалния диалог с конкретни действия на национално равнище и на равнище ЕС, България като част от единния европейски вътрешен пазар следва да поднови ангажиментите си към социалния диалог като основен елемент на социалната пазарна икономика на ЕС и нейната конкурентоспособност. Преговорите между организациите, представляващи работодателите и работниците (социалните партньори), чрез социален диалог и колективно договаряне спомагат за подобряване на условията на живот и труд, като например заплащането, работното време, годишния отпуск, родителския отпуск, обучението и мерките за здравословни и безопасни условия на труд. Те играят решаваща роля за адаптирането към променящите се икономически и социални условия, подпомагане придобиването на нови умения, повишаване квалификацията и преквалификация на работната сила, улесняване на прехода от едно работно място на друго, както и постигането на по-голяма производителност и подобряване на конкурентоспособността на предприятията, което пък допринася за обезпечаване на социална справедливост и демокрация на работното място. </w:t>
      </w:r>
    </w:p>
    <w:p w:rsidR="00D53405" w:rsidRPr="001E3810" w:rsidRDefault="00D53405" w:rsidP="001D4B2B">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 xml:space="preserve">Социалните партньори, в качеството им на институции на пазара на труда, играят решаваща роля във времена на криза или промяна и помагат за намирането на балансирани решения за адаптиране на пазара на труда и работната сила към дигиталния и зелен преход. </w:t>
      </w:r>
    </w:p>
    <w:p w:rsidR="00D53405" w:rsidRPr="001E3810" w:rsidRDefault="00D53405" w:rsidP="00D43B37">
      <w:pPr>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В предложението на Комисията за препоръка на Съвета за засилване на социалния диалог е препоръчано на държавите-–членки, в т.ч. и на България:</w:t>
      </w:r>
    </w:p>
    <w:p w:rsidR="00D53405" w:rsidRPr="001E3810" w:rsidRDefault="00D53405" w:rsidP="003025ED">
      <w:pPr>
        <w:tabs>
          <w:tab w:val="left" w:pos="990"/>
        </w:tabs>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w:t>
      </w:r>
      <w:r w:rsidRPr="001E3810">
        <w:rPr>
          <w:rFonts w:ascii="Times New Roman" w:hAnsi="Times New Roman" w:cs="Times New Roman"/>
          <w:sz w:val="24"/>
          <w:szCs w:val="24"/>
        </w:rPr>
        <w:tab/>
        <w:t>да гарантират провеждането на консултации със социалните партньори относно разработването и изпълнението на политиките в областта на икономиката и заетостта и социалните политики в съответствие с националните практики. Това може да се осъществи чрез включването и активното участие на социалните партньори в органите на заетостта и чрез възможност за участие в разработването, приемането и изпълнението на национални схеми за поддържане и запазване на заетостта;</w:t>
      </w:r>
    </w:p>
    <w:p w:rsidR="00D53405" w:rsidRPr="001E3810" w:rsidRDefault="00D53405" w:rsidP="003025ED">
      <w:pPr>
        <w:tabs>
          <w:tab w:val="left" w:pos="990"/>
        </w:tabs>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w:t>
      </w:r>
      <w:r w:rsidRPr="001E3810">
        <w:rPr>
          <w:rFonts w:ascii="Times New Roman" w:hAnsi="Times New Roman" w:cs="Times New Roman"/>
          <w:sz w:val="24"/>
          <w:szCs w:val="24"/>
        </w:rPr>
        <w:tab/>
        <w:t>да насърчават социалните партньори да разглеждат новите форми на труд и нетипичната заетост и да осъществяват широка комуникация относно ползите от социалния диалог и относно действащите колективни трудови договори;</w:t>
      </w:r>
    </w:p>
    <w:p w:rsidR="00D53405" w:rsidRPr="001E3810" w:rsidRDefault="00D53405" w:rsidP="003025ED">
      <w:pPr>
        <w:tabs>
          <w:tab w:val="left" w:pos="990"/>
        </w:tabs>
        <w:spacing w:after="0" w:line="240" w:lineRule="auto"/>
        <w:ind w:firstLine="709"/>
        <w:jc w:val="both"/>
        <w:rPr>
          <w:rFonts w:ascii="Times New Roman" w:hAnsi="Times New Roman" w:cs="Times New Roman"/>
          <w:sz w:val="24"/>
          <w:szCs w:val="24"/>
        </w:rPr>
      </w:pPr>
      <w:r w:rsidRPr="001E3810">
        <w:rPr>
          <w:rFonts w:ascii="Times New Roman" w:hAnsi="Times New Roman" w:cs="Times New Roman"/>
          <w:sz w:val="24"/>
          <w:szCs w:val="24"/>
        </w:rPr>
        <w:t>•</w:t>
      </w:r>
      <w:r w:rsidRPr="001E3810">
        <w:rPr>
          <w:rFonts w:ascii="Times New Roman" w:hAnsi="Times New Roman" w:cs="Times New Roman"/>
          <w:sz w:val="24"/>
          <w:szCs w:val="24"/>
        </w:rPr>
        <w:tab/>
        <w:t>да дадат възможност за увеличаване на капацитета на организациите на работниците и работодателите, например като се гарантира, че имат достъп до нужната информация, и се осигури подкрепа от националните правителства.</w:t>
      </w:r>
    </w:p>
    <w:p w:rsidR="00D53405" w:rsidRPr="001E3810" w:rsidRDefault="00D53405" w:rsidP="00242D52">
      <w:pPr>
        <w:pStyle w:val="ListParagraph"/>
        <w:spacing w:after="0" w:line="240" w:lineRule="auto"/>
        <w:ind w:left="0" w:firstLine="709"/>
        <w:jc w:val="both"/>
        <w:rPr>
          <w:rFonts w:ascii="Times New Roman" w:hAnsi="Times New Roman" w:cs="Times New Roman"/>
          <w:sz w:val="24"/>
          <w:szCs w:val="24"/>
        </w:rPr>
      </w:pPr>
      <w:r w:rsidRPr="001E3810">
        <w:rPr>
          <w:rFonts w:ascii="Times New Roman" w:hAnsi="Times New Roman" w:cs="Times New Roman"/>
          <w:sz w:val="24"/>
          <w:szCs w:val="24"/>
        </w:rPr>
        <w:t>През 2024 г. МТСП и социалните партньори, ще работят активно за транспониране на Директивата за адекватни минимални работни заплати и насърчаване на колективното трудово договаряне, както и на Директивата за прозрачност в заплащането.</w:t>
      </w:r>
    </w:p>
    <w:p w:rsidR="00D53405" w:rsidRPr="001E3810" w:rsidRDefault="00D53405" w:rsidP="00242D52">
      <w:pPr>
        <w:pStyle w:val="ListParagraph"/>
        <w:spacing w:after="0" w:line="240" w:lineRule="auto"/>
        <w:ind w:left="0" w:firstLine="709"/>
        <w:jc w:val="both"/>
        <w:rPr>
          <w:rFonts w:ascii="Times New Roman" w:hAnsi="Times New Roman" w:cs="Times New Roman"/>
          <w:sz w:val="24"/>
          <w:szCs w:val="24"/>
        </w:rPr>
      </w:pPr>
    </w:p>
    <w:p w:rsidR="00D53405" w:rsidRPr="001E3810" w:rsidRDefault="00D53405" w:rsidP="00242D52">
      <w:pPr>
        <w:pStyle w:val="ListParagraph"/>
        <w:spacing w:after="0" w:line="240" w:lineRule="auto"/>
        <w:ind w:left="0" w:firstLine="709"/>
        <w:jc w:val="both"/>
        <w:rPr>
          <w:rFonts w:ascii="Times New Roman" w:hAnsi="Times New Roman" w:cs="Times New Roman"/>
          <w:sz w:val="24"/>
          <w:szCs w:val="24"/>
        </w:rPr>
      </w:pPr>
    </w:p>
    <w:p w:rsidR="00D53405" w:rsidRPr="001E3810" w:rsidRDefault="00D53405" w:rsidP="00242D52">
      <w:pPr>
        <w:pStyle w:val="ListParagraph"/>
        <w:spacing w:after="0" w:line="240" w:lineRule="auto"/>
        <w:ind w:left="0" w:firstLine="709"/>
        <w:jc w:val="both"/>
        <w:rPr>
          <w:rFonts w:ascii="Times New Roman" w:hAnsi="Times New Roman" w:cs="Times New Roman"/>
          <w:sz w:val="24"/>
          <w:szCs w:val="24"/>
        </w:rPr>
      </w:pPr>
    </w:p>
    <w:p w:rsidR="00D53405" w:rsidRDefault="00D53405" w:rsidP="00F54377">
      <w:pPr>
        <w:spacing w:after="0" w:line="240" w:lineRule="auto"/>
        <w:jc w:val="both"/>
        <w:rPr>
          <w:rFonts w:ascii="Times New Roman" w:hAnsi="Times New Roman" w:cs="Times New Roman"/>
          <w:b/>
          <w:sz w:val="24"/>
          <w:szCs w:val="24"/>
        </w:rPr>
      </w:pPr>
      <w:r w:rsidRPr="001E3810">
        <w:rPr>
          <w:rFonts w:ascii="Times New Roman" w:hAnsi="Times New Roman" w:cs="Times New Roman"/>
          <w:b/>
          <w:sz w:val="24"/>
          <w:szCs w:val="24"/>
        </w:rPr>
        <w:t>ПРИЛОЖЕНИЯ:</w:t>
      </w:r>
    </w:p>
    <w:p w:rsidR="00D53405" w:rsidRPr="001E3810" w:rsidRDefault="00D53405" w:rsidP="00F54377">
      <w:pPr>
        <w:spacing w:after="0" w:line="240" w:lineRule="auto"/>
        <w:jc w:val="both"/>
        <w:rPr>
          <w:rFonts w:ascii="Times New Roman" w:hAnsi="Times New Roman" w:cs="Times New Roman"/>
          <w:b/>
          <w:sz w:val="24"/>
          <w:szCs w:val="24"/>
        </w:rPr>
      </w:pPr>
    </w:p>
    <w:p w:rsidR="00D53405" w:rsidRPr="001E3810" w:rsidRDefault="00D53405" w:rsidP="00F54377">
      <w:pPr>
        <w:pStyle w:val="ListParagraph"/>
        <w:numPr>
          <w:ilvl w:val="0"/>
          <w:numId w:val="18"/>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Приложение 1. Фишове на програмите, проектите и мерките;</w:t>
      </w:r>
    </w:p>
    <w:p w:rsidR="00D53405" w:rsidRPr="001E3810" w:rsidRDefault="00D53405" w:rsidP="00F54377">
      <w:pPr>
        <w:pStyle w:val="ListParagraph"/>
        <w:numPr>
          <w:ilvl w:val="0"/>
          <w:numId w:val="18"/>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Приложение 2. Максимални размери на средствата за 2024 г., които се осигуряват от бюджета за активна политика на МТСП за едно лице (съгласно Закона за насърчаване на заетостта);</w:t>
      </w:r>
    </w:p>
    <w:p w:rsidR="00D53405" w:rsidRPr="001E3810" w:rsidRDefault="00D53405" w:rsidP="00F54377">
      <w:pPr>
        <w:pStyle w:val="ListParagraph"/>
        <w:numPr>
          <w:ilvl w:val="0"/>
          <w:numId w:val="18"/>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Приложение 3. Видове плащания по програми и мерки, финансирани от средствата за активна политика на МТСП за 2024 г.;</w:t>
      </w:r>
    </w:p>
    <w:p w:rsidR="00D53405" w:rsidRPr="001E3810" w:rsidRDefault="00D53405" w:rsidP="00F54377">
      <w:pPr>
        <w:pStyle w:val="ListParagraph"/>
        <w:numPr>
          <w:ilvl w:val="0"/>
          <w:numId w:val="18"/>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Приложение 4. Разпределение на средствата от бюджета за активна политика на МТСП по програми и мерки за обучение и заетост през 2024 г.;</w:t>
      </w:r>
    </w:p>
    <w:p w:rsidR="00D53405" w:rsidRPr="001E3810" w:rsidRDefault="00D53405" w:rsidP="00F54377">
      <w:pPr>
        <w:pStyle w:val="ListParagraph"/>
        <w:numPr>
          <w:ilvl w:val="0"/>
          <w:numId w:val="18"/>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Приложение 4.1. Приложимост на правилата в областта на държавните помощи при отпускане на средства по реда на ЗНЗ по мерки, програми и проекти, включени в НПДЗ през 2024 г.;</w:t>
      </w:r>
    </w:p>
    <w:p w:rsidR="00D53405" w:rsidRPr="001E3810" w:rsidRDefault="00D53405" w:rsidP="00F54377">
      <w:pPr>
        <w:pStyle w:val="ListParagraph"/>
        <w:numPr>
          <w:ilvl w:val="0"/>
          <w:numId w:val="18"/>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Приложение 5. Отчет на изпълнението на НПДЗ-2023 г.;</w:t>
      </w:r>
    </w:p>
    <w:p w:rsidR="00D53405" w:rsidRPr="001E3810" w:rsidRDefault="00D53405" w:rsidP="00F54377">
      <w:pPr>
        <w:pStyle w:val="ListParagraph"/>
        <w:numPr>
          <w:ilvl w:val="0"/>
          <w:numId w:val="18"/>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Приложение 6. Показатели за мониторинг на Стратегията по заетостта на Р България 2021 - 2030 г.;</w:t>
      </w:r>
    </w:p>
    <w:p w:rsidR="00D53405" w:rsidRPr="001E3810" w:rsidRDefault="00D53405" w:rsidP="003D7089">
      <w:pPr>
        <w:pStyle w:val="ListParagraph"/>
        <w:numPr>
          <w:ilvl w:val="0"/>
          <w:numId w:val="18"/>
        </w:numPr>
        <w:spacing w:after="0" w:line="240" w:lineRule="auto"/>
        <w:contextualSpacing w:val="0"/>
        <w:jc w:val="both"/>
        <w:rPr>
          <w:rFonts w:ascii="Times New Roman" w:hAnsi="Times New Roman" w:cs="Times New Roman"/>
          <w:sz w:val="24"/>
          <w:szCs w:val="24"/>
        </w:rPr>
      </w:pPr>
      <w:r w:rsidRPr="001E3810">
        <w:rPr>
          <w:rFonts w:ascii="Times New Roman" w:hAnsi="Times New Roman" w:cs="Times New Roman"/>
          <w:sz w:val="24"/>
          <w:szCs w:val="24"/>
        </w:rPr>
        <w:t>Приложение 7. Рамка с основни приоритети на НПДЗ-2024 г.</w:t>
      </w:r>
    </w:p>
    <w:p w:rsidR="00D53405" w:rsidRPr="00FF7A92" w:rsidRDefault="00D53405" w:rsidP="006313F7">
      <w:pPr>
        <w:spacing w:after="0" w:line="240" w:lineRule="auto"/>
        <w:jc w:val="both"/>
        <w:rPr>
          <w:rFonts w:ascii="Times New Roman" w:hAnsi="Times New Roman" w:cs="Times New Roman"/>
          <w:sz w:val="24"/>
          <w:szCs w:val="24"/>
        </w:rPr>
      </w:pPr>
    </w:p>
    <w:sectPr w:rsidR="00D53405" w:rsidRPr="00FF7A92" w:rsidSect="00125688">
      <w:pgSz w:w="12240" w:h="15840"/>
      <w:pgMar w:top="1440" w:right="1185" w:bottom="1440" w:left="1440" w:header="709"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405" w:rsidRDefault="00D53405" w:rsidP="00C82829">
      <w:pPr>
        <w:spacing w:after="0" w:line="240" w:lineRule="auto"/>
      </w:pPr>
      <w:r>
        <w:separator/>
      </w:r>
    </w:p>
  </w:endnote>
  <w:endnote w:type="continuationSeparator" w:id="0">
    <w:p w:rsidR="00D53405" w:rsidRDefault="00D53405" w:rsidP="00C828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405" w:rsidRDefault="00D53405">
    <w:pPr>
      <w:pStyle w:val="Footer"/>
      <w:jc w:val="right"/>
    </w:pPr>
    <w:fldSimple w:instr=" PAGE   \* MERGEFORMAT ">
      <w:r>
        <w:rPr>
          <w:noProof/>
        </w:rPr>
        <w:t>1</w:t>
      </w:r>
    </w:fldSimple>
  </w:p>
  <w:p w:rsidR="00D53405" w:rsidRDefault="00D534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405" w:rsidRDefault="00D53405" w:rsidP="00C82829">
      <w:pPr>
        <w:spacing w:after="0" w:line="240" w:lineRule="auto"/>
      </w:pPr>
      <w:r>
        <w:separator/>
      </w:r>
    </w:p>
  </w:footnote>
  <w:footnote w:type="continuationSeparator" w:id="0">
    <w:p w:rsidR="00D53405" w:rsidRDefault="00D53405" w:rsidP="00C82829">
      <w:pPr>
        <w:spacing w:after="0" w:line="240" w:lineRule="auto"/>
      </w:pPr>
      <w:r>
        <w:continuationSeparator/>
      </w:r>
    </w:p>
  </w:footnote>
  <w:footnote w:id="1">
    <w:p w:rsidR="00D53405" w:rsidRDefault="00D53405" w:rsidP="00C60565">
      <w:pPr>
        <w:pStyle w:val="FootnoteText"/>
      </w:pPr>
      <w:r w:rsidRPr="00C109FC">
        <w:rPr>
          <w:rStyle w:val="FootnoteReference"/>
          <w:rFonts w:ascii="Times New Roman" w:hAnsi="Times New Roman"/>
        </w:rPr>
        <w:footnoteRef/>
      </w:r>
      <w:r w:rsidRPr="00C109FC">
        <w:rPr>
          <w:rFonts w:ascii="Times New Roman" w:hAnsi="Times New Roman" w:cs="Times New Roman"/>
        </w:rPr>
        <w:t xml:space="preserve"> Индикаторът е в процес на предоговаряне</w:t>
      </w:r>
      <w:r>
        <w:rPr>
          <w:rFonts w:ascii="Times New Roman" w:hAnsi="Times New Roman" w:cs="Times New Roman"/>
        </w:rPr>
        <w:t xml:space="preserve"> с ЕК</w:t>
      </w:r>
      <w:r w:rsidRPr="00C109FC">
        <w:rPr>
          <w:rFonts w:ascii="Times New Roman" w:hAnsi="Times New Roman" w:cs="Times New Roman"/>
        </w:rPr>
        <w:t>.</w:t>
      </w:r>
    </w:p>
  </w:footnote>
  <w:footnote w:id="2">
    <w:p w:rsidR="00D53405" w:rsidRPr="005F5CB5" w:rsidRDefault="00D53405" w:rsidP="005F5CB5">
      <w:pPr>
        <w:pStyle w:val="FootnoteText"/>
      </w:pPr>
      <w:r>
        <w:rPr>
          <w:rStyle w:val="FootnoteReference"/>
          <w:rFonts w:cs="Calibri"/>
        </w:rPr>
        <w:footnoteRef/>
      </w:r>
      <w:r>
        <w:t xml:space="preserve"> </w:t>
      </w:r>
      <w:r w:rsidRPr="00887C45">
        <w:rPr>
          <w:rFonts w:ascii="Times New Roman" w:hAnsi="Times New Roman" w:cs="Times New Roman"/>
        </w:rPr>
        <w:t>Процедурите за обучения и повишаване на преквалификацията на работници по Програма „Развитие на регионите“ 2021-2027 г. е предвидено да стартират през 2024 г. и съответно да се реализират през 2025 г.</w:t>
      </w:r>
      <w:r>
        <w:rPr>
          <w:rFonts w:ascii="Times New Roman" w:hAnsi="Times New Roman" w:cs="Times New Roman"/>
        </w:rPr>
        <w:t xml:space="preserve"> и в този смисъл</w:t>
      </w:r>
      <w:r w:rsidRPr="005F5CB5">
        <w:rPr>
          <w:rFonts w:ascii="Times New Roman" w:hAnsi="Times New Roman" w:cs="Times New Roman"/>
        </w:rPr>
        <w:t xml:space="preserve"> индикаторите ще бъдат отчетени през 2025 г.</w:t>
      </w:r>
    </w:p>
    <w:p w:rsidR="00D53405" w:rsidRDefault="00D53405" w:rsidP="005F5CB5">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6F39"/>
    <w:multiLevelType w:val="hybridMultilevel"/>
    <w:tmpl w:val="49EAE99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0CBE0944"/>
    <w:multiLevelType w:val="hybridMultilevel"/>
    <w:tmpl w:val="63366B8E"/>
    <w:lvl w:ilvl="0" w:tplc="99CE1AAA">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46236D8"/>
    <w:multiLevelType w:val="hybridMultilevel"/>
    <w:tmpl w:val="8D961B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5D249B7"/>
    <w:multiLevelType w:val="hybridMultilevel"/>
    <w:tmpl w:val="54A6C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024EE4"/>
    <w:multiLevelType w:val="hybridMultilevel"/>
    <w:tmpl w:val="A0EAC212"/>
    <w:lvl w:ilvl="0" w:tplc="04020003">
      <w:start w:val="1"/>
      <w:numFmt w:val="bullet"/>
      <w:lvlText w:val="o"/>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E821A3B"/>
    <w:multiLevelType w:val="hybridMultilevel"/>
    <w:tmpl w:val="DD885A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22407EF"/>
    <w:multiLevelType w:val="hybridMultilevel"/>
    <w:tmpl w:val="49EAE99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244B1094"/>
    <w:multiLevelType w:val="hybridMultilevel"/>
    <w:tmpl w:val="86F4C3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6C62167"/>
    <w:multiLevelType w:val="hybridMultilevel"/>
    <w:tmpl w:val="3496A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BF0490"/>
    <w:multiLevelType w:val="hybridMultilevel"/>
    <w:tmpl w:val="1F86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2D5405"/>
    <w:multiLevelType w:val="hybridMultilevel"/>
    <w:tmpl w:val="1724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3C216D"/>
    <w:multiLevelType w:val="hybridMultilevel"/>
    <w:tmpl w:val="3BE07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60655"/>
    <w:multiLevelType w:val="hybridMultilevel"/>
    <w:tmpl w:val="21A8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E0566E"/>
    <w:multiLevelType w:val="hybridMultilevel"/>
    <w:tmpl w:val="272C0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BF5314"/>
    <w:multiLevelType w:val="hybridMultilevel"/>
    <w:tmpl w:val="97C02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C62BA"/>
    <w:multiLevelType w:val="hybridMultilevel"/>
    <w:tmpl w:val="651C5612"/>
    <w:lvl w:ilvl="0" w:tplc="4876613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BC2598F"/>
    <w:multiLevelType w:val="hybridMultilevel"/>
    <w:tmpl w:val="0C961F4E"/>
    <w:lvl w:ilvl="0" w:tplc="04020001">
      <w:start w:val="1"/>
      <w:numFmt w:val="bullet"/>
      <w:lvlText w:val=""/>
      <w:lvlJc w:val="left"/>
      <w:pPr>
        <w:tabs>
          <w:tab w:val="num" w:pos="745"/>
        </w:tabs>
        <w:ind w:left="745" w:hanging="360"/>
      </w:pPr>
      <w:rPr>
        <w:rFonts w:ascii="Symbol" w:hAnsi="Symbol" w:hint="default"/>
      </w:rPr>
    </w:lvl>
    <w:lvl w:ilvl="1" w:tplc="3D7059F8">
      <w:numFmt w:val="bullet"/>
      <w:lvlText w:val="-"/>
      <w:lvlJc w:val="left"/>
      <w:pPr>
        <w:ind w:left="1465" w:hanging="360"/>
      </w:pPr>
      <w:rPr>
        <w:rFonts w:ascii="Times New Roman" w:eastAsia="Times New Roman" w:hAnsi="Times New Roman" w:hint="default"/>
      </w:rPr>
    </w:lvl>
    <w:lvl w:ilvl="2" w:tplc="04020005" w:tentative="1">
      <w:start w:val="1"/>
      <w:numFmt w:val="bullet"/>
      <w:lvlText w:val=""/>
      <w:lvlJc w:val="left"/>
      <w:pPr>
        <w:tabs>
          <w:tab w:val="num" w:pos="2185"/>
        </w:tabs>
        <w:ind w:left="2185" w:hanging="360"/>
      </w:pPr>
      <w:rPr>
        <w:rFonts w:ascii="Wingdings" w:hAnsi="Wingdings" w:hint="default"/>
      </w:rPr>
    </w:lvl>
    <w:lvl w:ilvl="3" w:tplc="04020001" w:tentative="1">
      <w:start w:val="1"/>
      <w:numFmt w:val="bullet"/>
      <w:lvlText w:val=""/>
      <w:lvlJc w:val="left"/>
      <w:pPr>
        <w:tabs>
          <w:tab w:val="num" w:pos="2905"/>
        </w:tabs>
        <w:ind w:left="2905" w:hanging="360"/>
      </w:pPr>
      <w:rPr>
        <w:rFonts w:ascii="Symbol" w:hAnsi="Symbol" w:hint="default"/>
      </w:rPr>
    </w:lvl>
    <w:lvl w:ilvl="4" w:tplc="04020003" w:tentative="1">
      <w:start w:val="1"/>
      <w:numFmt w:val="bullet"/>
      <w:lvlText w:val="o"/>
      <w:lvlJc w:val="left"/>
      <w:pPr>
        <w:tabs>
          <w:tab w:val="num" w:pos="3625"/>
        </w:tabs>
        <w:ind w:left="3625" w:hanging="360"/>
      </w:pPr>
      <w:rPr>
        <w:rFonts w:ascii="Courier New" w:hAnsi="Courier New" w:hint="default"/>
      </w:rPr>
    </w:lvl>
    <w:lvl w:ilvl="5" w:tplc="04020005" w:tentative="1">
      <w:start w:val="1"/>
      <w:numFmt w:val="bullet"/>
      <w:lvlText w:val=""/>
      <w:lvlJc w:val="left"/>
      <w:pPr>
        <w:tabs>
          <w:tab w:val="num" w:pos="4345"/>
        </w:tabs>
        <w:ind w:left="4345" w:hanging="360"/>
      </w:pPr>
      <w:rPr>
        <w:rFonts w:ascii="Wingdings" w:hAnsi="Wingdings" w:hint="default"/>
      </w:rPr>
    </w:lvl>
    <w:lvl w:ilvl="6" w:tplc="04020001" w:tentative="1">
      <w:start w:val="1"/>
      <w:numFmt w:val="bullet"/>
      <w:lvlText w:val=""/>
      <w:lvlJc w:val="left"/>
      <w:pPr>
        <w:tabs>
          <w:tab w:val="num" w:pos="5065"/>
        </w:tabs>
        <w:ind w:left="5065" w:hanging="360"/>
      </w:pPr>
      <w:rPr>
        <w:rFonts w:ascii="Symbol" w:hAnsi="Symbol" w:hint="default"/>
      </w:rPr>
    </w:lvl>
    <w:lvl w:ilvl="7" w:tplc="04020003" w:tentative="1">
      <w:start w:val="1"/>
      <w:numFmt w:val="bullet"/>
      <w:lvlText w:val="o"/>
      <w:lvlJc w:val="left"/>
      <w:pPr>
        <w:tabs>
          <w:tab w:val="num" w:pos="5785"/>
        </w:tabs>
        <w:ind w:left="5785" w:hanging="360"/>
      </w:pPr>
      <w:rPr>
        <w:rFonts w:ascii="Courier New" w:hAnsi="Courier New" w:hint="default"/>
      </w:rPr>
    </w:lvl>
    <w:lvl w:ilvl="8" w:tplc="04020005" w:tentative="1">
      <w:start w:val="1"/>
      <w:numFmt w:val="bullet"/>
      <w:lvlText w:val=""/>
      <w:lvlJc w:val="left"/>
      <w:pPr>
        <w:tabs>
          <w:tab w:val="num" w:pos="6505"/>
        </w:tabs>
        <w:ind w:left="6505" w:hanging="360"/>
      </w:pPr>
      <w:rPr>
        <w:rFonts w:ascii="Wingdings" w:hAnsi="Wingdings" w:hint="default"/>
      </w:rPr>
    </w:lvl>
  </w:abstractNum>
  <w:abstractNum w:abstractNumId="17">
    <w:nsid w:val="6B945B49"/>
    <w:multiLevelType w:val="hybridMultilevel"/>
    <w:tmpl w:val="8602A0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038562B"/>
    <w:multiLevelType w:val="hybridMultilevel"/>
    <w:tmpl w:val="E504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484791"/>
    <w:multiLevelType w:val="hybridMultilevel"/>
    <w:tmpl w:val="B04AA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527FB0"/>
    <w:multiLevelType w:val="hybridMultilevel"/>
    <w:tmpl w:val="26282CBE"/>
    <w:lvl w:ilvl="0" w:tplc="0409000F">
      <w:start w:val="1"/>
      <w:numFmt w:val="decimal"/>
      <w:lvlText w:val="%1."/>
      <w:lvlJc w:val="left"/>
      <w:pPr>
        <w:ind w:left="720" w:hanging="360"/>
      </w:pPr>
      <w:rPr>
        <w:rFonts w:cs="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8"/>
  </w:num>
  <w:num w:numId="4">
    <w:abstractNumId w:val="17"/>
  </w:num>
  <w:num w:numId="5">
    <w:abstractNumId w:val="7"/>
  </w:num>
  <w:num w:numId="6">
    <w:abstractNumId w:val="1"/>
  </w:num>
  <w:num w:numId="7">
    <w:abstractNumId w:val="6"/>
  </w:num>
  <w:num w:numId="8">
    <w:abstractNumId w:val="9"/>
  </w:num>
  <w:num w:numId="9">
    <w:abstractNumId w:val="19"/>
  </w:num>
  <w:num w:numId="10">
    <w:abstractNumId w:val="15"/>
  </w:num>
  <w:num w:numId="11">
    <w:abstractNumId w:val="10"/>
  </w:num>
  <w:num w:numId="12">
    <w:abstractNumId w:val="14"/>
  </w:num>
  <w:num w:numId="13">
    <w:abstractNumId w:val="11"/>
  </w:num>
  <w:num w:numId="14">
    <w:abstractNumId w:val="3"/>
  </w:num>
  <w:num w:numId="15">
    <w:abstractNumId w:val="12"/>
  </w:num>
  <w:num w:numId="16">
    <w:abstractNumId w:val="8"/>
  </w:num>
  <w:num w:numId="17">
    <w:abstractNumId w:val="13"/>
  </w:num>
  <w:num w:numId="18">
    <w:abstractNumId w:val="0"/>
  </w:num>
  <w:num w:numId="19">
    <w:abstractNumId w:val="2"/>
  </w:num>
  <w:num w:numId="20">
    <w:abstractNumId w:val="4"/>
  </w:num>
  <w:num w:numId="21">
    <w:abstractNumId w:val="20"/>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5828"/>
    <w:rsid w:val="00001019"/>
    <w:rsid w:val="00002663"/>
    <w:rsid w:val="00003165"/>
    <w:rsid w:val="00004E52"/>
    <w:rsid w:val="00010FFE"/>
    <w:rsid w:val="00011253"/>
    <w:rsid w:val="00011870"/>
    <w:rsid w:val="00016E3D"/>
    <w:rsid w:val="00025085"/>
    <w:rsid w:val="0003057E"/>
    <w:rsid w:val="00032317"/>
    <w:rsid w:val="00035F4B"/>
    <w:rsid w:val="00042230"/>
    <w:rsid w:val="00044E6A"/>
    <w:rsid w:val="0004623B"/>
    <w:rsid w:val="00046AC3"/>
    <w:rsid w:val="000550EB"/>
    <w:rsid w:val="00057FC2"/>
    <w:rsid w:val="0007465C"/>
    <w:rsid w:val="00077C7F"/>
    <w:rsid w:val="00081700"/>
    <w:rsid w:val="000871A2"/>
    <w:rsid w:val="00093FA9"/>
    <w:rsid w:val="000A130D"/>
    <w:rsid w:val="000A402C"/>
    <w:rsid w:val="000A6A35"/>
    <w:rsid w:val="000C342C"/>
    <w:rsid w:val="000C7550"/>
    <w:rsid w:val="000C7B6B"/>
    <w:rsid w:val="000D13BA"/>
    <w:rsid w:val="000D2C89"/>
    <w:rsid w:val="000D579F"/>
    <w:rsid w:val="000D6176"/>
    <w:rsid w:val="000E47E9"/>
    <w:rsid w:val="000F19EE"/>
    <w:rsid w:val="000F2151"/>
    <w:rsid w:val="000F31C2"/>
    <w:rsid w:val="000F3326"/>
    <w:rsid w:val="00103287"/>
    <w:rsid w:val="00104F76"/>
    <w:rsid w:val="00125215"/>
    <w:rsid w:val="00125688"/>
    <w:rsid w:val="00133187"/>
    <w:rsid w:val="00133AF2"/>
    <w:rsid w:val="00135043"/>
    <w:rsid w:val="00136400"/>
    <w:rsid w:val="00141015"/>
    <w:rsid w:val="00143233"/>
    <w:rsid w:val="001554DA"/>
    <w:rsid w:val="001616CC"/>
    <w:rsid w:val="0016253D"/>
    <w:rsid w:val="00164A6F"/>
    <w:rsid w:val="00166B13"/>
    <w:rsid w:val="00180A85"/>
    <w:rsid w:val="001812E1"/>
    <w:rsid w:val="001823A6"/>
    <w:rsid w:val="00182DD3"/>
    <w:rsid w:val="001879C1"/>
    <w:rsid w:val="001A0D17"/>
    <w:rsid w:val="001B2541"/>
    <w:rsid w:val="001B5D99"/>
    <w:rsid w:val="001B728F"/>
    <w:rsid w:val="001C2F12"/>
    <w:rsid w:val="001C34A2"/>
    <w:rsid w:val="001C38B4"/>
    <w:rsid w:val="001D36AE"/>
    <w:rsid w:val="001D4B2B"/>
    <w:rsid w:val="001E3810"/>
    <w:rsid w:val="001E398B"/>
    <w:rsid w:val="001F5F90"/>
    <w:rsid w:val="001F74A6"/>
    <w:rsid w:val="0020207E"/>
    <w:rsid w:val="00211197"/>
    <w:rsid w:val="0021146C"/>
    <w:rsid w:val="00220C50"/>
    <w:rsid w:val="00224377"/>
    <w:rsid w:val="00224CF4"/>
    <w:rsid w:val="00231C25"/>
    <w:rsid w:val="002369C4"/>
    <w:rsid w:val="002370C9"/>
    <w:rsid w:val="002412B4"/>
    <w:rsid w:val="00242D52"/>
    <w:rsid w:val="002438AB"/>
    <w:rsid w:val="00245F0A"/>
    <w:rsid w:val="00254472"/>
    <w:rsid w:val="00255C3E"/>
    <w:rsid w:val="00261895"/>
    <w:rsid w:val="00271D71"/>
    <w:rsid w:val="00271F06"/>
    <w:rsid w:val="00277A2A"/>
    <w:rsid w:val="00281958"/>
    <w:rsid w:val="00284349"/>
    <w:rsid w:val="00290244"/>
    <w:rsid w:val="0029140E"/>
    <w:rsid w:val="00291DEE"/>
    <w:rsid w:val="00293916"/>
    <w:rsid w:val="00293984"/>
    <w:rsid w:val="00295CE3"/>
    <w:rsid w:val="00296788"/>
    <w:rsid w:val="00297543"/>
    <w:rsid w:val="002A06C4"/>
    <w:rsid w:val="002A12F5"/>
    <w:rsid w:val="002A28F8"/>
    <w:rsid w:val="002A5DB1"/>
    <w:rsid w:val="002B2C0C"/>
    <w:rsid w:val="002B4D77"/>
    <w:rsid w:val="002B4FFC"/>
    <w:rsid w:val="002C6596"/>
    <w:rsid w:val="002C6C30"/>
    <w:rsid w:val="002D1378"/>
    <w:rsid w:val="002D336C"/>
    <w:rsid w:val="002E5B3A"/>
    <w:rsid w:val="002F0024"/>
    <w:rsid w:val="002F0E77"/>
    <w:rsid w:val="002F2BC7"/>
    <w:rsid w:val="002F5B0E"/>
    <w:rsid w:val="002F78D1"/>
    <w:rsid w:val="00301219"/>
    <w:rsid w:val="0030171F"/>
    <w:rsid w:val="003025ED"/>
    <w:rsid w:val="003074DD"/>
    <w:rsid w:val="00311D91"/>
    <w:rsid w:val="00313DC4"/>
    <w:rsid w:val="003245B6"/>
    <w:rsid w:val="00326005"/>
    <w:rsid w:val="00327577"/>
    <w:rsid w:val="00334CEF"/>
    <w:rsid w:val="00347020"/>
    <w:rsid w:val="0035477C"/>
    <w:rsid w:val="003572DF"/>
    <w:rsid w:val="00360A3F"/>
    <w:rsid w:val="0036634A"/>
    <w:rsid w:val="00382725"/>
    <w:rsid w:val="0038556A"/>
    <w:rsid w:val="003864A9"/>
    <w:rsid w:val="00394D53"/>
    <w:rsid w:val="003952AC"/>
    <w:rsid w:val="00396DA7"/>
    <w:rsid w:val="00397450"/>
    <w:rsid w:val="003B02B0"/>
    <w:rsid w:val="003B2542"/>
    <w:rsid w:val="003C2F9D"/>
    <w:rsid w:val="003D058A"/>
    <w:rsid w:val="003D7089"/>
    <w:rsid w:val="003E0272"/>
    <w:rsid w:val="003E401D"/>
    <w:rsid w:val="003E6004"/>
    <w:rsid w:val="003F3B05"/>
    <w:rsid w:val="003F7A26"/>
    <w:rsid w:val="0040559A"/>
    <w:rsid w:val="00410EF6"/>
    <w:rsid w:val="004125F9"/>
    <w:rsid w:val="00415AF7"/>
    <w:rsid w:val="00421B47"/>
    <w:rsid w:val="00422D49"/>
    <w:rsid w:val="0043214D"/>
    <w:rsid w:val="0043321B"/>
    <w:rsid w:val="0044226E"/>
    <w:rsid w:val="00445828"/>
    <w:rsid w:val="00447F8D"/>
    <w:rsid w:val="00450DD1"/>
    <w:rsid w:val="004533E9"/>
    <w:rsid w:val="0045643C"/>
    <w:rsid w:val="004570ED"/>
    <w:rsid w:val="00461C12"/>
    <w:rsid w:val="00462165"/>
    <w:rsid w:val="00463079"/>
    <w:rsid w:val="004643E2"/>
    <w:rsid w:val="004657F4"/>
    <w:rsid w:val="004660FD"/>
    <w:rsid w:val="004661A9"/>
    <w:rsid w:val="0047438F"/>
    <w:rsid w:val="00485C21"/>
    <w:rsid w:val="00486F24"/>
    <w:rsid w:val="00490252"/>
    <w:rsid w:val="00490AA3"/>
    <w:rsid w:val="00491554"/>
    <w:rsid w:val="00497C5A"/>
    <w:rsid w:val="004A1A7F"/>
    <w:rsid w:val="004A6A24"/>
    <w:rsid w:val="004B2646"/>
    <w:rsid w:val="004B4DF3"/>
    <w:rsid w:val="004C083C"/>
    <w:rsid w:val="004C08B4"/>
    <w:rsid w:val="004C1E53"/>
    <w:rsid w:val="004D41CD"/>
    <w:rsid w:val="004D52C3"/>
    <w:rsid w:val="004D701C"/>
    <w:rsid w:val="004E5F52"/>
    <w:rsid w:val="004F1BC0"/>
    <w:rsid w:val="004F4458"/>
    <w:rsid w:val="00502191"/>
    <w:rsid w:val="00502A39"/>
    <w:rsid w:val="00513919"/>
    <w:rsid w:val="00515B98"/>
    <w:rsid w:val="00520EFA"/>
    <w:rsid w:val="005226D7"/>
    <w:rsid w:val="00523A80"/>
    <w:rsid w:val="00561051"/>
    <w:rsid w:val="00561B19"/>
    <w:rsid w:val="00562D9A"/>
    <w:rsid w:val="005630AF"/>
    <w:rsid w:val="0056520A"/>
    <w:rsid w:val="005852D6"/>
    <w:rsid w:val="005964CD"/>
    <w:rsid w:val="00596755"/>
    <w:rsid w:val="005A34E9"/>
    <w:rsid w:val="005C01A2"/>
    <w:rsid w:val="005D2054"/>
    <w:rsid w:val="005D4853"/>
    <w:rsid w:val="005E3813"/>
    <w:rsid w:val="005E4EAA"/>
    <w:rsid w:val="005E5EA4"/>
    <w:rsid w:val="005E6B8D"/>
    <w:rsid w:val="005F5CB5"/>
    <w:rsid w:val="005F7E4A"/>
    <w:rsid w:val="006033FD"/>
    <w:rsid w:val="006110FD"/>
    <w:rsid w:val="006111AC"/>
    <w:rsid w:val="00613A0B"/>
    <w:rsid w:val="006210AB"/>
    <w:rsid w:val="006248C6"/>
    <w:rsid w:val="006313F7"/>
    <w:rsid w:val="00632274"/>
    <w:rsid w:val="00637485"/>
    <w:rsid w:val="00637D4C"/>
    <w:rsid w:val="00640E90"/>
    <w:rsid w:val="0064671E"/>
    <w:rsid w:val="00646CDD"/>
    <w:rsid w:val="00653F7E"/>
    <w:rsid w:val="00655BA5"/>
    <w:rsid w:val="00656605"/>
    <w:rsid w:val="00656F4D"/>
    <w:rsid w:val="00657DF0"/>
    <w:rsid w:val="006734D3"/>
    <w:rsid w:val="00673F29"/>
    <w:rsid w:val="00676C16"/>
    <w:rsid w:val="00677186"/>
    <w:rsid w:val="00682404"/>
    <w:rsid w:val="00683F03"/>
    <w:rsid w:val="0068404D"/>
    <w:rsid w:val="00684501"/>
    <w:rsid w:val="00686B10"/>
    <w:rsid w:val="00687BF4"/>
    <w:rsid w:val="006926DB"/>
    <w:rsid w:val="00692ACA"/>
    <w:rsid w:val="006934F6"/>
    <w:rsid w:val="006935AC"/>
    <w:rsid w:val="00695190"/>
    <w:rsid w:val="006A0D98"/>
    <w:rsid w:val="006A0EBA"/>
    <w:rsid w:val="006B0916"/>
    <w:rsid w:val="006B29B9"/>
    <w:rsid w:val="006B54E7"/>
    <w:rsid w:val="006B6F15"/>
    <w:rsid w:val="006B7772"/>
    <w:rsid w:val="006C1622"/>
    <w:rsid w:val="006C2E70"/>
    <w:rsid w:val="006D6816"/>
    <w:rsid w:val="006D7BA9"/>
    <w:rsid w:val="006F28BD"/>
    <w:rsid w:val="006F41A8"/>
    <w:rsid w:val="006F53DC"/>
    <w:rsid w:val="006F5DC7"/>
    <w:rsid w:val="00702511"/>
    <w:rsid w:val="00702EB1"/>
    <w:rsid w:val="0070648B"/>
    <w:rsid w:val="00714F98"/>
    <w:rsid w:val="00715D7E"/>
    <w:rsid w:val="00721D9F"/>
    <w:rsid w:val="00723BFF"/>
    <w:rsid w:val="00725EEE"/>
    <w:rsid w:val="00737946"/>
    <w:rsid w:val="007408A4"/>
    <w:rsid w:val="00741E36"/>
    <w:rsid w:val="007464A5"/>
    <w:rsid w:val="00750AA8"/>
    <w:rsid w:val="00750BEC"/>
    <w:rsid w:val="007516D2"/>
    <w:rsid w:val="00751E0D"/>
    <w:rsid w:val="00760726"/>
    <w:rsid w:val="00761294"/>
    <w:rsid w:val="00762576"/>
    <w:rsid w:val="007768EC"/>
    <w:rsid w:val="007833E7"/>
    <w:rsid w:val="00784963"/>
    <w:rsid w:val="00784ACE"/>
    <w:rsid w:val="00786D08"/>
    <w:rsid w:val="0079017F"/>
    <w:rsid w:val="007934F3"/>
    <w:rsid w:val="00794E05"/>
    <w:rsid w:val="00797416"/>
    <w:rsid w:val="007A3FBF"/>
    <w:rsid w:val="007A461F"/>
    <w:rsid w:val="007A793C"/>
    <w:rsid w:val="007B23A1"/>
    <w:rsid w:val="007B371F"/>
    <w:rsid w:val="007B5AA6"/>
    <w:rsid w:val="007C5A06"/>
    <w:rsid w:val="007D1191"/>
    <w:rsid w:val="007D7F77"/>
    <w:rsid w:val="007E0B79"/>
    <w:rsid w:val="007E21B8"/>
    <w:rsid w:val="007E3C45"/>
    <w:rsid w:val="007F1166"/>
    <w:rsid w:val="007F19A4"/>
    <w:rsid w:val="007F3F82"/>
    <w:rsid w:val="007F4111"/>
    <w:rsid w:val="007F548D"/>
    <w:rsid w:val="00806C4C"/>
    <w:rsid w:val="0081000F"/>
    <w:rsid w:val="008126AD"/>
    <w:rsid w:val="00813F01"/>
    <w:rsid w:val="008152E3"/>
    <w:rsid w:val="00822628"/>
    <w:rsid w:val="0083545B"/>
    <w:rsid w:val="00843BFF"/>
    <w:rsid w:val="00843EA0"/>
    <w:rsid w:val="008567B6"/>
    <w:rsid w:val="0087296A"/>
    <w:rsid w:val="00872B96"/>
    <w:rsid w:val="00876FA7"/>
    <w:rsid w:val="00887C45"/>
    <w:rsid w:val="00897FE4"/>
    <w:rsid w:val="008A2920"/>
    <w:rsid w:val="008A52F3"/>
    <w:rsid w:val="008A7A23"/>
    <w:rsid w:val="008B1AAB"/>
    <w:rsid w:val="008C14BA"/>
    <w:rsid w:val="008C4977"/>
    <w:rsid w:val="008C6A88"/>
    <w:rsid w:val="008D14CE"/>
    <w:rsid w:val="008E082E"/>
    <w:rsid w:val="008E21FA"/>
    <w:rsid w:val="008E25AC"/>
    <w:rsid w:val="008F1CC3"/>
    <w:rsid w:val="008F1EA8"/>
    <w:rsid w:val="008F2859"/>
    <w:rsid w:val="008F4B6E"/>
    <w:rsid w:val="009008AE"/>
    <w:rsid w:val="00907049"/>
    <w:rsid w:val="009204E2"/>
    <w:rsid w:val="00926148"/>
    <w:rsid w:val="009325D3"/>
    <w:rsid w:val="009340C1"/>
    <w:rsid w:val="00936EBC"/>
    <w:rsid w:val="00944BFC"/>
    <w:rsid w:val="00946F7A"/>
    <w:rsid w:val="00951AF8"/>
    <w:rsid w:val="00954208"/>
    <w:rsid w:val="00961435"/>
    <w:rsid w:val="0096150C"/>
    <w:rsid w:val="00962350"/>
    <w:rsid w:val="00964848"/>
    <w:rsid w:val="00971389"/>
    <w:rsid w:val="00974F9D"/>
    <w:rsid w:val="00975A43"/>
    <w:rsid w:val="00976154"/>
    <w:rsid w:val="009800F8"/>
    <w:rsid w:val="0098020A"/>
    <w:rsid w:val="00980B6D"/>
    <w:rsid w:val="009830B2"/>
    <w:rsid w:val="00990522"/>
    <w:rsid w:val="00995DED"/>
    <w:rsid w:val="009A255B"/>
    <w:rsid w:val="009A4213"/>
    <w:rsid w:val="009B0F6B"/>
    <w:rsid w:val="009B149B"/>
    <w:rsid w:val="009B7C7D"/>
    <w:rsid w:val="009C4B03"/>
    <w:rsid w:val="009C6444"/>
    <w:rsid w:val="009D6248"/>
    <w:rsid w:val="009E18EA"/>
    <w:rsid w:val="009E22C8"/>
    <w:rsid w:val="009F7994"/>
    <w:rsid w:val="00A038E7"/>
    <w:rsid w:val="00A10A66"/>
    <w:rsid w:val="00A111E3"/>
    <w:rsid w:val="00A12391"/>
    <w:rsid w:val="00A1320F"/>
    <w:rsid w:val="00A13353"/>
    <w:rsid w:val="00A23367"/>
    <w:rsid w:val="00A24920"/>
    <w:rsid w:val="00A33159"/>
    <w:rsid w:val="00A334BB"/>
    <w:rsid w:val="00A33613"/>
    <w:rsid w:val="00A370C0"/>
    <w:rsid w:val="00A47717"/>
    <w:rsid w:val="00A50A24"/>
    <w:rsid w:val="00A50A8F"/>
    <w:rsid w:val="00A5238C"/>
    <w:rsid w:val="00A53208"/>
    <w:rsid w:val="00A57ED5"/>
    <w:rsid w:val="00A63447"/>
    <w:rsid w:val="00A66DFE"/>
    <w:rsid w:val="00A71DC2"/>
    <w:rsid w:val="00A72055"/>
    <w:rsid w:val="00A75D2E"/>
    <w:rsid w:val="00A75F33"/>
    <w:rsid w:val="00A81DF3"/>
    <w:rsid w:val="00A81FCB"/>
    <w:rsid w:val="00A83A2C"/>
    <w:rsid w:val="00A85617"/>
    <w:rsid w:val="00A862D1"/>
    <w:rsid w:val="00A9730E"/>
    <w:rsid w:val="00AA0B3D"/>
    <w:rsid w:val="00AA5781"/>
    <w:rsid w:val="00AB0DD7"/>
    <w:rsid w:val="00AC1197"/>
    <w:rsid w:val="00AC13F5"/>
    <w:rsid w:val="00AC1AE3"/>
    <w:rsid w:val="00AC5E81"/>
    <w:rsid w:val="00AD02A1"/>
    <w:rsid w:val="00AD1A39"/>
    <w:rsid w:val="00AD2D2E"/>
    <w:rsid w:val="00AD7BC3"/>
    <w:rsid w:val="00AE32B2"/>
    <w:rsid w:val="00AE47D3"/>
    <w:rsid w:val="00AF7366"/>
    <w:rsid w:val="00B044EF"/>
    <w:rsid w:val="00B06A23"/>
    <w:rsid w:val="00B10094"/>
    <w:rsid w:val="00B13DEB"/>
    <w:rsid w:val="00B15CE3"/>
    <w:rsid w:val="00B16BDE"/>
    <w:rsid w:val="00B30313"/>
    <w:rsid w:val="00B3117D"/>
    <w:rsid w:val="00B31B2C"/>
    <w:rsid w:val="00B32264"/>
    <w:rsid w:val="00B35FD9"/>
    <w:rsid w:val="00B36358"/>
    <w:rsid w:val="00B40249"/>
    <w:rsid w:val="00B54A40"/>
    <w:rsid w:val="00B66A81"/>
    <w:rsid w:val="00B67722"/>
    <w:rsid w:val="00B819E1"/>
    <w:rsid w:val="00B82FB6"/>
    <w:rsid w:val="00B83229"/>
    <w:rsid w:val="00B839FB"/>
    <w:rsid w:val="00B869BF"/>
    <w:rsid w:val="00B86A74"/>
    <w:rsid w:val="00B90513"/>
    <w:rsid w:val="00B930F3"/>
    <w:rsid w:val="00B93EF0"/>
    <w:rsid w:val="00B949E5"/>
    <w:rsid w:val="00BA0F97"/>
    <w:rsid w:val="00BB3A05"/>
    <w:rsid w:val="00BB5F7C"/>
    <w:rsid w:val="00BB649A"/>
    <w:rsid w:val="00BC11B2"/>
    <w:rsid w:val="00BC725E"/>
    <w:rsid w:val="00BD2069"/>
    <w:rsid w:val="00BE2F64"/>
    <w:rsid w:val="00BE3AF2"/>
    <w:rsid w:val="00BE7D53"/>
    <w:rsid w:val="00BF4E95"/>
    <w:rsid w:val="00BF556D"/>
    <w:rsid w:val="00BF5641"/>
    <w:rsid w:val="00BF7BEB"/>
    <w:rsid w:val="00C109FC"/>
    <w:rsid w:val="00C12DB4"/>
    <w:rsid w:val="00C14EE0"/>
    <w:rsid w:val="00C14F61"/>
    <w:rsid w:val="00C21664"/>
    <w:rsid w:val="00C23B10"/>
    <w:rsid w:val="00C247C3"/>
    <w:rsid w:val="00C25460"/>
    <w:rsid w:val="00C25A03"/>
    <w:rsid w:val="00C26199"/>
    <w:rsid w:val="00C345D8"/>
    <w:rsid w:val="00C41896"/>
    <w:rsid w:val="00C42269"/>
    <w:rsid w:val="00C42E4D"/>
    <w:rsid w:val="00C54DB8"/>
    <w:rsid w:val="00C576B0"/>
    <w:rsid w:val="00C60565"/>
    <w:rsid w:val="00C61971"/>
    <w:rsid w:val="00C6467C"/>
    <w:rsid w:val="00C64C92"/>
    <w:rsid w:val="00C6637A"/>
    <w:rsid w:val="00C67E9C"/>
    <w:rsid w:val="00C76251"/>
    <w:rsid w:val="00C76734"/>
    <w:rsid w:val="00C77945"/>
    <w:rsid w:val="00C82829"/>
    <w:rsid w:val="00C93294"/>
    <w:rsid w:val="00CA2894"/>
    <w:rsid w:val="00CA4028"/>
    <w:rsid w:val="00CA7BD2"/>
    <w:rsid w:val="00CB01CE"/>
    <w:rsid w:val="00CB079C"/>
    <w:rsid w:val="00CB763D"/>
    <w:rsid w:val="00CD2A00"/>
    <w:rsid w:val="00CD3656"/>
    <w:rsid w:val="00CD5567"/>
    <w:rsid w:val="00CD5801"/>
    <w:rsid w:val="00CE24EF"/>
    <w:rsid w:val="00CE7946"/>
    <w:rsid w:val="00CF285E"/>
    <w:rsid w:val="00D01A50"/>
    <w:rsid w:val="00D04047"/>
    <w:rsid w:val="00D062A7"/>
    <w:rsid w:val="00D127F3"/>
    <w:rsid w:val="00D15601"/>
    <w:rsid w:val="00D25188"/>
    <w:rsid w:val="00D344FE"/>
    <w:rsid w:val="00D36B2E"/>
    <w:rsid w:val="00D36FC7"/>
    <w:rsid w:val="00D42104"/>
    <w:rsid w:val="00D43B37"/>
    <w:rsid w:val="00D44191"/>
    <w:rsid w:val="00D451BB"/>
    <w:rsid w:val="00D45F8D"/>
    <w:rsid w:val="00D50EC0"/>
    <w:rsid w:val="00D510EE"/>
    <w:rsid w:val="00D53405"/>
    <w:rsid w:val="00D5388B"/>
    <w:rsid w:val="00D64481"/>
    <w:rsid w:val="00D70A17"/>
    <w:rsid w:val="00D74E33"/>
    <w:rsid w:val="00D8132F"/>
    <w:rsid w:val="00D87CE3"/>
    <w:rsid w:val="00D96C99"/>
    <w:rsid w:val="00DA1AFF"/>
    <w:rsid w:val="00DA2A34"/>
    <w:rsid w:val="00DA7EBE"/>
    <w:rsid w:val="00DB1629"/>
    <w:rsid w:val="00DB25C1"/>
    <w:rsid w:val="00DB54DB"/>
    <w:rsid w:val="00DC4805"/>
    <w:rsid w:val="00DC5424"/>
    <w:rsid w:val="00DD1079"/>
    <w:rsid w:val="00DD6969"/>
    <w:rsid w:val="00DE493D"/>
    <w:rsid w:val="00DE5255"/>
    <w:rsid w:val="00DF057B"/>
    <w:rsid w:val="00DF5353"/>
    <w:rsid w:val="00E00A74"/>
    <w:rsid w:val="00E145C9"/>
    <w:rsid w:val="00E1560B"/>
    <w:rsid w:val="00E174A2"/>
    <w:rsid w:val="00E17834"/>
    <w:rsid w:val="00E275C8"/>
    <w:rsid w:val="00E351F6"/>
    <w:rsid w:val="00E3616A"/>
    <w:rsid w:val="00E37183"/>
    <w:rsid w:val="00E40E24"/>
    <w:rsid w:val="00E5248F"/>
    <w:rsid w:val="00E625D6"/>
    <w:rsid w:val="00E77AB6"/>
    <w:rsid w:val="00E80486"/>
    <w:rsid w:val="00E845B1"/>
    <w:rsid w:val="00E8728E"/>
    <w:rsid w:val="00E950D7"/>
    <w:rsid w:val="00EA4458"/>
    <w:rsid w:val="00EB426B"/>
    <w:rsid w:val="00EB7490"/>
    <w:rsid w:val="00EB7E50"/>
    <w:rsid w:val="00EC6085"/>
    <w:rsid w:val="00EC7A1E"/>
    <w:rsid w:val="00ED1677"/>
    <w:rsid w:val="00EE7E8F"/>
    <w:rsid w:val="00EF13C8"/>
    <w:rsid w:val="00EF324B"/>
    <w:rsid w:val="00EF5991"/>
    <w:rsid w:val="00F05CB5"/>
    <w:rsid w:val="00F13373"/>
    <w:rsid w:val="00F161C9"/>
    <w:rsid w:val="00F178DC"/>
    <w:rsid w:val="00F31348"/>
    <w:rsid w:val="00F32CC8"/>
    <w:rsid w:val="00F33E7E"/>
    <w:rsid w:val="00F3467F"/>
    <w:rsid w:val="00F36A1B"/>
    <w:rsid w:val="00F44A09"/>
    <w:rsid w:val="00F54377"/>
    <w:rsid w:val="00F570D4"/>
    <w:rsid w:val="00F646CD"/>
    <w:rsid w:val="00F76064"/>
    <w:rsid w:val="00F823A3"/>
    <w:rsid w:val="00F865F4"/>
    <w:rsid w:val="00F86BB3"/>
    <w:rsid w:val="00F93F5C"/>
    <w:rsid w:val="00F95184"/>
    <w:rsid w:val="00F952C6"/>
    <w:rsid w:val="00FA0E27"/>
    <w:rsid w:val="00FA16C5"/>
    <w:rsid w:val="00FA422E"/>
    <w:rsid w:val="00FA59AB"/>
    <w:rsid w:val="00FB011C"/>
    <w:rsid w:val="00FC3EFB"/>
    <w:rsid w:val="00FC3FEB"/>
    <w:rsid w:val="00FC584A"/>
    <w:rsid w:val="00FC7319"/>
    <w:rsid w:val="00FC7384"/>
    <w:rsid w:val="00FD5C29"/>
    <w:rsid w:val="00FD5EA6"/>
    <w:rsid w:val="00FD63F6"/>
    <w:rsid w:val="00FD77F3"/>
    <w:rsid w:val="00FD7EB5"/>
    <w:rsid w:val="00FE2174"/>
    <w:rsid w:val="00FF45D9"/>
    <w:rsid w:val="00FF632E"/>
    <w:rsid w:val="00FF7A9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828"/>
    <w:pPr>
      <w:spacing w:after="200" w:line="276" w:lineRule="auto"/>
    </w:pPr>
    <w:rPr>
      <w:rFonts w:eastAsia="Times New Roman"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458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82829"/>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C82829"/>
    <w:rPr>
      <w:rFonts w:ascii="Calibri" w:hAnsi="Calibri" w:cs="Calibri"/>
      <w:lang w:val="bg-BG"/>
    </w:rPr>
  </w:style>
  <w:style w:type="paragraph" w:styleId="Footer">
    <w:name w:val="footer"/>
    <w:basedOn w:val="Normal"/>
    <w:link w:val="FooterChar"/>
    <w:uiPriority w:val="99"/>
    <w:rsid w:val="00C82829"/>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C82829"/>
    <w:rPr>
      <w:rFonts w:ascii="Calibri" w:hAnsi="Calibri" w:cs="Calibri"/>
      <w:lang w:val="bg-BG"/>
    </w:rPr>
  </w:style>
  <w:style w:type="character" w:styleId="CommentReference">
    <w:name w:val="annotation reference"/>
    <w:basedOn w:val="DefaultParagraphFont"/>
    <w:uiPriority w:val="99"/>
    <w:semiHidden/>
    <w:rsid w:val="00D96C99"/>
    <w:rPr>
      <w:rFonts w:cs="Times New Roman"/>
      <w:sz w:val="16"/>
      <w:szCs w:val="16"/>
    </w:rPr>
  </w:style>
  <w:style w:type="paragraph" w:styleId="CommentText">
    <w:name w:val="annotation text"/>
    <w:basedOn w:val="Normal"/>
    <w:link w:val="CommentTextChar"/>
    <w:uiPriority w:val="99"/>
    <w:semiHidden/>
    <w:rsid w:val="00D96C9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96C99"/>
    <w:rPr>
      <w:rFonts w:ascii="Calibri" w:hAnsi="Calibri" w:cs="Calibri"/>
      <w:sz w:val="20"/>
      <w:szCs w:val="20"/>
      <w:lang w:val="bg-BG"/>
    </w:rPr>
  </w:style>
  <w:style w:type="paragraph" w:styleId="CommentSubject">
    <w:name w:val="annotation subject"/>
    <w:basedOn w:val="CommentText"/>
    <w:next w:val="CommentText"/>
    <w:link w:val="CommentSubjectChar"/>
    <w:uiPriority w:val="99"/>
    <w:semiHidden/>
    <w:rsid w:val="00D96C99"/>
    <w:rPr>
      <w:b/>
      <w:bCs/>
    </w:rPr>
  </w:style>
  <w:style w:type="character" w:customStyle="1" w:styleId="CommentSubjectChar">
    <w:name w:val="Comment Subject Char"/>
    <w:basedOn w:val="CommentTextChar"/>
    <w:link w:val="CommentSubject"/>
    <w:uiPriority w:val="99"/>
    <w:semiHidden/>
    <w:locked/>
    <w:rsid w:val="00D96C99"/>
    <w:rPr>
      <w:b/>
      <w:bCs/>
    </w:rPr>
  </w:style>
  <w:style w:type="paragraph" w:styleId="BalloonText">
    <w:name w:val="Balloon Text"/>
    <w:basedOn w:val="Normal"/>
    <w:link w:val="BalloonTextChar"/>
    <w:uiPriority w:val="99"/>
    <w:semiHidden/>
    <w:rsid w:val="00D96C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96C99"/>
    <w:rPr>
      <w:rFonts w:ascii="Segoe UI" w:hAnsi="Segoe UI" w:cs="Segoe UI"/>
      <w:sz w:val="18"/>
      <w:szCs w:val="18"/>
      <w:lang w:val="bg-BG"/>
    </w:rPr>
  </w:style>
  <w:style w:type="paragraph" w:styleId="ListParagraph">
    <w:name w:val="List Paragraph"/>
    <w:basedOn w:val="Normal"/>
    <w:uiPriority w:val="99"/>
    <w:qFormat/>
    <w:rsid w:val="00F93F5C"/>
    <w:pPr>
      <w:ind w:left="720"/>
      <w:contextualSpacing/>
    </w:pPr>
  </w:style>
  <w:style w:type="table" w:customStyle="1" w:styleId="TableGrid1">
    <w:name w:val="Table Grid1"/>
    <w:uiPriority w:val="99"/>
    <w:rsid w:val="00245F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4210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42104"/>
    <w:rPr>
      <w:rFonts w:ascii="Calibri" w:hAnsi="Calibri" w:cs="Calibri"/>
      <w:sz w:val="20"/>
      <w:szCs w:val="20"/>
      <w:lang w:val="bg-BG"/>
    </w:rPr>
  </w:style>
  <w:style w:type="character" w:styleId="FootnoteReference">
    <w:name w:val="footnote reference"/>
    <w:basedOn w:val="DefaultParagraphFont"/>
    <w:uiPriority w:val="99"/>
    <w:semiHidden/>
    <w:rsid w:val="00D42104"/>
    <w:rPr>
      <w:rFonts w:cs="Times New Roman"/>
      <w:vertAlign w:val="superscript"/>
    </w:rPr>
  </w:style>
  <w:style w:type="paragraph" w:styleId="NormalWeb">
    <w:name w:val="Normal (Web)"/>
    <w:basedOn w:val="Normal"/>
    <w:uiPriority w:val="99"/>
    <w:semiHidden/>
    <w:rsid w:val="00BE3AF2"/>
    <w:rPr>
      <w:rFonts w:ascii="Times New Roman" w:hAnsi="Times New Roman" w:cs="Times New Roman"/>
      <w:sz w:val="24"/>
      <w:szCs w:val="24"/>
    </w:rPr>
  </w:style>
  <w:style w:type="paragraph" w:styleId="Revision">
    <w:name w:val="Revision"/>
    <w:hidden/>
    <w:uiPriority w:val="99"/>
    <w:semiHidden/>
    <w:rsid w:val="00D45F8D"/>
    <w:rPr>
      <w:rFonts w:eastAsia="Times New Roman" w:cs="Calibri"/>
      <w:lang w:eastAsia="en-US"/>
    </w:rPr>
  </w:style>
</w:styles>
</file>

<file path=word/webSettings.xml><?xml version="1.0" encoding="utf-8"?>
<w:webSettings xmlns:r="http://schemas.openxmlformats.org/officeDocument/2006/relationships" xmlns:w="http://schemas.openxmlformats.org/wordprocessingml/2006/main">
  <w:divs>
    <w:div w:id="737869834">
      <w:marLeft w:val="0"/>
      <w:marRight w:val="0"/>
      <w:marTop w:val="0"/>
      <w:marBottom w:val="0"/>
      <w:divBdr>
        <w:top w:val="none" w:sz="0" w:space="0" w:color="auto"/>
        <w:left w:val="none" w:sz="0" w:space="0" w:color="auto"/>
        <w:bottom w:val="none" w:sz="0" w:space="0" w:color="auto"/>
        <w:right w:val="none" w:sz="0" w:space="0" w:color="auto"/>
      </w:divBdr>
    </w:div>
    <w:div w:id="737869835">
      <w:marLeft w:val="0"/>
      <w:marRight w:val="0"/>
      <w:marTop w:val="0"/>
      <w:marBottom w:val="0"/>
      <w:divBdr>
        <w:top w:val="none" w:sz="0" w:space="0" w:color="auto"/>
        <w:left w:val="none" w:sz="0" w:space="0" w:color="auto"/>
        <w:bottom w:val="none" w:sz="0" w:space="0" w:color="auto"/>
        <w:right w:val="none" w:sz="0" w:space="0" w:color="auto"/>
      </w:divBdr>
    </w:div>
    <w:div w:id="737869836">
      <w:marLeft w:val="0"/>
      <w:marRight w:val="0"/>
      <w:marTop w:val="0"/>
      <w:marBottom w:val="0"/>
      <w:divBdr>
        <w:top w:val="none" w:sz="0" w:space="0" w:color="auto"/>
        <w:left w:val="none" w:sz="0" w:space="0" w:color="auto"/>
        <w:bottom w:val="none" w:sz="0" w:space="0" w:color="auto"/>
        <w:right w:val="none" w:sz="0" w:space="0" w:color="auto"/>
      </w:divBdr>
    </w:div>
    <w:div w:id="737869837">
      <w:marLeft w:val="0"/>
      <w:marRight w:val="0"/>
      <w:marTop w:val="0"/>
      <w:marBottom w:val="0"/>
      <w:divBdr>
        <w:top w:val="none" w:sz="0" w:space="0" w:color="auto"/>
        <w:left w:val="none" w:sz="0" w:space="0" w:color="auto"/>
        <w:bottom w:val="none" w:sz="0" w:space="0" w:color="auto"/>
        <w:right w:val="none" w:sz="0" w:space="0" w:color="auto"/>
      </w:divBdr>
    </w:div>
    <w:div w:id="737869838">
      <w:marLeft w:val="0"/>
      <w:marRight w:val="0"/>
      <w:marTop w:val="0"/>
      <w:marBottom w:val="0"/>
      <w:divBdr>
        <w:top w:val="none" w:sz="0" w:space="0" w:color="auto"/>
        <w:left w:val="none" w:sz="0" w:space="0" w:color="auto"/>
        <w:bottom w:val="none" w:sz="0" w:space="0" w:color="auto"/>
        <w:right w:val="none" w:sz="0" w:space="0" w:color="auto"/>
      </w:divBdr>
    </w:div>
    <w:div w:id="737869839">
      <w:marLeft w:val="0"/>
      <w:marRight w:val="0"/>
      <w:marTop w:val="0"/>
      <w:marBottom w:val="0"/>
      <w:divBdr>
        <w:top w:val="none" w:sz="0" w:space="0" w:color="auto"/>
        <w:left w:val="none" w:sz="0" w:space="0" w:color="auto"/>
        <w:bottom w:val="none" w:sz="0" w:space="0" w:color="auto"/>
        <w:right w:val="none" w:sz="0" w:space="0" w:color="auto"/>
      </w:divBdr>
    </w:div>
    <w:div w:id="737869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29</Pages>
  <Words>9659</Words>
  <Characters>-32766</Characters>
  <Application>Microsoft Office Outlook</Application>
  <DocSecurity>0</DocSecurity>
  <Lines>0</Lines>
  <Paragraphs>0</Paragraphs>
  <ScaleCrop>false</ScaleCrop>
  <Company>HP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Boyka Tsolova</dc:creator>
  <cp:keywords/>
  <dc:description/>
  <cp:lastModifiedBy>m.yordanova</cp:lastModifiedBy>
  <cp:revision>4</cp:revision>
  <cp:lastPrinted>2024-05-09T11:22:00Z</cp:lastPrinted>
  <dcterms:created xsi:type="dcterms:W3CDTF">2024-04-29T11:19:00Z</dcterms:created>
  <dcterms:modified xsi:type="dcterms:W3CDTF">2024-05-09T11:22:00Z</dcterms:modified>
</cp:coreProperties>
</file>